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0C7B" w:rsidRDefault="00992D31" w:rsidP="003008EA">
      <w:pPr>
        <w:snapToGrid w:val="0"/>
        <w:ind w:firstLineChars="0" w:firstLine="0"/>
        <w:jc w:val="center"/>
        <w:rPr>
          <w:rFonts w:ascii="方正小标宋简体" w:eastAsia="方正小标宋简体" w:hAnsi="仿宋_GB2312" w:cs="仿宋_GB2312"/>
          <w:color w:val="000000"/>
          <w:sz w:val="44"/>
          <w:szCs w:val="32"/>
        </w:rPr>
      </w:pPr>
      <w:r w:rsidRPr="003008EA">
        <w:rPr>
          <w:rFonts w:ascii="方正小标宋简体" w:eastAsia="方正小标宋简体" w:hAnsi="仿宋_GB2312" w:cs="仿宋_GB2312" w:hint="eastAsia"/>
          <w:color w:val="000000"/>
          <w:sz w:val="44"/>
          <w:szCs w:val="32"/>
        </w:rPr>
        <w:t>团体标准《</w:t>
      </w:r>
      <w:r w:rsidR="00027D4D" w:rsidRPr="00027D4D">
        <w:rPr>
          <w:rFonts w:ascii="方正小标宋简体" w:eastAsia="方正小标宋简体" w:hAnsi="仿宋_GB2312" w:cs="仿宋_GB2312" w:hint="eastAsia"/>
          <w:color w:val="000000"/>
          <w:sz w:val="44"/>
          <w:szCs w:val="32"/>
        </w:rPr>
        <w:t>大红柑智慧种植园建设与管理规范</w:t>
      </w:r>
      <w:r w:rsidRPr="003008EA">
        <w:rPr>
          <w:rFonts w:ascii="方正小标宋简体" w:eastAsia="方正小标宋简体" w:hAnsi="仿宋_GB2312" w:cs="仿宋_GB2312" w:hint="eastAsia"/>
          <w:color w:val="000000"/>
          <w:sz w:val="44"/>
          <w:szCs w:val="32"/>
        </w:rPr>
        <w:t>》（征求意见稿）编制说明</w:t>
      </w:r>
    </w:p>
    <w:p w:rsidR="003008EA" w:rsidRPr="003008EA" w:rsidRDefault="003008EA" w:rsidP="003008EA">
      <w:pPr>
        <w:snapToGrid w:val="0"/>
        <w:ind w:firstLineChars="0" w:firstLine="0"/>
        <w:jc w:val="center"/>
        <w:rPr>
          <w:rFonts w:ascii="方正小标宋简体" w:eastAsia="方正小标宋简体" w:hAnsi="仿宋_GB2312" w:cs="仿宋_GB2312"/>
          <w:color w:val="000000"/>
          <w:sz w:val="44"/>
          <w:szCs w:val="32"/>
        </w:rPr>
      </w:pPr>
    </w:p>
    <w:p w:rsidR="009A0C7B" w:rsidRPr="004B2637" w:rsidRDefault="00992D31">
      <w:pPr>
        <w:autoSpaceDE w:val="0"/>
        <w:autoSpaceDN w:val="0"/>
        <w:adjustRightInd w:val="0"/>
        <w:ind w:firstLine="640"/>
        <w:jc w:val="left"/>
        <w:rPr>
          <w:rFonts w:ascii="黑体" w:eastAsia="黑体" w:hAnsi="黑体" w:cs="仿宋_GB2312"/>
          <w:szCs w:val="32"/>
        </w:rPr>
      </w:pPr>
      <w:r w:rsidRPr="004B2637">
        <w:rPr>
          <w:rFonts w:ascii="黑体" w:eastAsia="黑体" w:hAnsi="黑体" w:cs="仿宋_GB2312" w:hint="eastAsia"/>
          <w:szCs w:val="32"/>
        </w:rPr>
        <w:t>一、任务来源、起草单位、主要起草人</w:t>
      </w:r>
    </w:p>
    <w:p w:rsidR="009A0C7B" w:rsidRDefault="00992D31">
      <w:pPr>
        <w:ind w:firstLine="640"/>
        <w:rPr>
          <w:rFonts w:ascii="仿宋_GB2312" w:hAnsi="仿宋_GB2312" w:cs="仿宋_GB2312"/>
          <w:szCs w:val="28"/>
        </w:rPr>
      </w:pPr>
      <w:r w:rsidRPr="00992D31">
        <w:rPr>
          <w:rFonts w:ascii="仿宋_GB2312" w:hAnsi="仿宋_GB2312" w:cs="仿宋_GB2312" w:hint="eastAsia"/>
          <w:szCs w:val="28"/>
        </w:rPr>
        <w:t>根据《广西标准化协会关于下达2025年第</w:t>
      </w:r>
      <w:r w:rsidR="00027D4D">
        <w:rPr>
          <w:rFonts w:ascii="仿宋_GB2312" w:hAnsi="仿宋_GB2312" w:cs="仿宋_GB2312" w:hint="eastAsia"/>
          <w:szCs w:val="28"/>
        </w:rPr>
        <w:t>三十八</w:t>
      </w:r>
      <w:r w:rsidRPr="00992D31">
        <w:rPr>
          <w:rFonts w:ascii="仿宋_GB2312" w:hAnsi="仿宋_GB2312" w:cs="仿宋_GB2312" w:hint="eastAsia"/>
          <w:szCs w:val="28"/>
        </w:rPr>
        <w:t>批团体标准制修订项目计划的通知》（</w:t>
      </w:r>
      <w:proofErr w:type="gramStart"/>
      <w:r w:rsidRPr="00992D31">
        <w:rPr>
          <w:rFonts w:ascii="仿宋_GB2312" w:hAnsi="仿宋_GB2312" w:cs="仿宋_GB2312" w:hint="eastAsia"/>
          <w:szCs w:val="28"/>
        </w:rPr>
        <w:t>桂标协〔2025〕</w:t>
      </w:r>
      <w:proofErr w:type="gramEnd"/>
      <w:r w:rsidR="00027D4D">
        <w:rPr>
          <w:rFonts w:ascii="仿宋_GB2312" w:hAnsi="仿宋_GB2312" w:cs="仿宋_GB2312" w:hint="eastAsia"/>
          <w:szCs w:val="28"/>
        </w:rPr>
        <w:t>332</w:t>
      </w:r>
      <w:r w:rsidRPr="00992D31">
        <w:rPr>
          <w:rFonts w:ascii="仿宋_GB2312" w:hAnsi="仿宋_GB2312" w:cs="仿宋_GB2312" w:hint="eastAsia"/>
          <w:szCs w:val="28"/>
        </w:rPr>
        <w:t>号）文件精神，由</w:t>
      </w:r>
      <w:r w:rsidR="00027D4D" w:rsidRPr="00027D4D">
        <w:rPr>
          <w:rFonts w:ascii="仿宋_GB2312" w:hAnsi="仿宋_GB2312" w:cs="仿宋_GB2312" w:hint="eastAsia"/>
          <w:szCs w:val="28"/>
        </w:rPr>
        <w:t>浦北县农业农村局</w:t>
      </w:r>
      <w:r w:rsidRPr="00992D31">
        <w:rPr>
          <w:rFonts w:ascii="仿宋_GB2312" w:hAnsi="仿宋_GB2312" w:cs="仿宋_GB2312" w:hint="eastAsia"/>
          <w:szCs w:val="28"/>
        </w:rPr>
        <w:t>提出，</w:t>
      </w:r>
      <w:r w:rsidR="00027D4D" w:rsidRPr="00027D4D">
        <w:rPr>
          <w:rFonts w:ascii="仿宋_GB2312" w:hAnsi="仿宋_GB2312" w:cs="仿宋_GB2312" w:hint="eastAsia"/>
          <w:szCs w:val="28"/>
        </w:rPr>
        <w:t>浦北县农业农村局、浦北县市场监督管理局、浦北县陈皮产业发展中心、浦北县陈皮行业协会、广西中皮健康有限公司、广西</w:t>
      </w:r>
      <w:proofErr w:type="gramStart"/>
      <w:r w:rsidR="00027D4D" w:rsidRPr="00027D4D">
        <w:rPr>
          <w:rFonts w:ascii="仿宋_GB2312" w:hAnsi="仿宋_GB2312" w:cs="仿宋_GB2312" w:hint="eastAsia"/>
          <w:szCs w:val="28"/>
        </w:rPr>
        <w:t>金浦龙陈皮</w:t>
      </w:r>
      <w:proofErr w:type="gramEnd"/>
      <w:r w:rsidR="00027D4D" w:rsidRPr="00027D4D">
        <w:rPr>
          <w:rFonts w:ascii="仿宋_GB2312" w:hAnsi="仿宋_GB2312" w:cs="仿宋_GB2312" w:hint="eastAsia"/>
          <w:szCs w:val="28"/>
        </w:rPr>
        <w:t>科技产业有限公司、广西供销三冠陈皮有限公司</w:t>
      </w:r>
      <w:r w:rsidRPr="00992D31">
        <w:rPr>
          <w:rFonts w:ascii="仿宋_GB2312" w:hAnsi="仿宋_GB2312" w:cs="仿宋_GB2312" w:hint="eastAsia"/>
          <w:szCs w:val="28"/>
        </w:rPr>
        <w:t>等单位共同起草的团体标准《</w:t>
      </w:r>
      <w:r w:rsidR="00027D4D">
        <w:rPr>
          <w:rFonts w:ascii="仿宋_GB2312" w:hAnsi="仿宋_GB2312" w:cs="仿宋_GB2312" w:hint="eastAsia"/>
          <w:szCs w:val="28"/>
        </w:rPr>
        <w:t>大红柑智慧种植园建设与管理规范</w:t>
      </w:r>
      <w:r w:rsidRPr="00992D31">
        <w:rPr>
          <w:rFonts w:ascii="仿宋_GB2312" w:hAnsi="仿宋_GB2312" w:cs="仿宋_GB2312" w:hint="eastAsia"/>
          <w:szCs w:val="28"/>
        </w:rPr>
        <w:t>》（项目编号：2025-</w:t>
      </w:r>
      <w:r w:rsidR="00027D4D">
        <w:rPr>
          <w:rFonts w:ascii="仿宋_GB2312" w:hAnsi="仿宋_GB2312" w:cs="仿宋_GB2312" w:hint="eastAsia"/>
          <w:szCs w:val="28"/>
        </w:rPr>
        <w:t>3817</w:t>
      </w:r>
      <w:r w:rsidRPr="00992D31">
        <w:rPr>
          <w:rFonts w:ascii="仿宋_GB2312" w:hAnsi="仿宋_GB2312" w:cs="仿宋_GB2312" w:hint="eastAsia"/>
          <w:szCs w:val="28"/>
        </w:rPr>
        <w:t>），已获立项</w:t>
      </w:r>
      <w:r>
        <w:rPr>
          <w:rFonts w:ascii="仿宋_GB2312" w:hAnsi="仿宋_GB2312" w:cs="仿宋_GB2312" w:hint="eastAsia"/>
          <w:szCs w:val="28"/>
        </w:rPr>
        <w:t>。</w:t>
      </w:r>
    </w:p>
    <w:p w:rsidR="009A0C7B" w:rsidRDefault="00992D31">
      <w:pPr>
        <w:ind w:firstLine="640"/>
        <w:rPr>
          <w:rFonts w:ascii="仿宋_GB2312" w:hAnsi="仿宋_GB2312" w:cs="仿宋_GB2312"/>
          <w:szCs w:val="28"/>
        </w:rPr>
      </w:pPr>
      <w:r>
        <w:rPr>
          <w:rFonts w:ascii="仿宋_GB2312" w:hAnsi="仿宋_GB2312" w:cs="仿宋_GB2312" w:hint="eastAsia"/>
          <w:szCs w:val="28"/>
        </w:rPr>
        <w:t>为高质量编制团体标准《</w:t>
      </w:r>
      <w:r w:rsidR="00027D4D">
        <w:rPr>
          <w:rFonts w:ascii="仿宋_GB2312" w:hAnsi="仿宋_GB2312" w:cs="仿宋_GB2312" w:hint="eastAsia"/>
          <w:szCs w:val="28"/>
        </w:rPr>
        <w:t>大红柑智慧种植园建设与管理规范</w:t>
      </w:r>
      <w:r>
        <w:rPr>
          <w:rFonts w:ascii="仿宋_GB2312" w:hAnsi="仿宋_GB2312" w:cs="仿宋_GB2312" w:hint="eastAsia"/>
          <w:szCs w:val="28"/>
        </w:rPr>
        <w:t>》，由起草单位成立标准编制工作组并进行如下分工：</w:t>
      </w:r>
    </w:p>
    <w:tbl>
      <w:tblPr>
        <w:tblW w:w="5000" w:type="pct"/>
        <w:jc w:val="center"/>
        <w:tblInd w:w="-181" w:type="dxa"/>
        <w:tblLook w:val="04A0" w:firstRow="1" w:lastRow="0" w:firstColumn="1" w:lastColumn="0" w:noHBand="0" w:noVBand="1"/>
      </w:tblPr>
      <w:tblGrid>
        <w:gridCol w:w="654"/>
        <w:gridCol w:w="1158"/>
        <w:gridCol w:w="1697"/>
        <w:gridCol w:w="1503"/>
        <w:gridCol w:w="1470"/>
        <w:gridCol w:w="2692"/>
      </w:tblGrid>
      <w:tr w:rsidR="00B200B1" w:rsidRPr="00B200B1" w:rsidTr="00B200B1">
        <w:trPr>
          <w:cantSplit/>
          <w:trHeight w:val="410"/>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b/>
                <w:bCs/>
                <w:sz w:val="24"/>
              </w:rPr>
            </w:pPr>
            <w:r w:rsidRPr="00B200B1">
              <w:rPr>
                <w:rFonts w:ascii="仿宋_GB2312" w:hAnsi="宋体" w:hint="eastAsia"/>
                <w:b/>
                <w:bCs/>
                <w:sz w:val="24"/>
              </w:rPr>
              <w:t>序号</w:t>
            </w: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b/>
                <w:bCs/>
                <w:sz w:val="24"/>
              </w:rPr>
            </w:pPr>
            <w:r w:rsidRPr="00B200B1">
              <w:rPr>
                <w:rFonts w:ascii="仿宋_GB2312" w:hAnsi="宋体" w:hint="eastAsia"/>
                <w:b/>
                <w:bCs/>
                <w:sz w:val="24"/>
              </w:rPr>
              <w:t>姓名</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b/>
                <w:bCs/>
                <w:sz w:val="24"/>
              </w:rPr>
            </w:pPr>
            <w:r w:rsidRPr="00B200B1">
              <w:rPr>
                <w:rFonts w:ascii="仿宋_GB2312" w:hAnsi="宋体" w:hint="eastAsia"/>
                <w:b/>
                <w:bCs/>
                <w:sz w:val="24"/>
              </w:rPr>
              <w:t>单位</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b/>
                <w:bCs/>
                <w:sz w:val="24"/>
              </w:rPr>
            </w:pPr>
            <w:r w:rsidRPr="00B200B1">
              <w:rPr>
                <w:rFonts w:ascii="仿宋_GB2312" w:hAnsi="宋体" w:hint="eastAsia"/>
                <w:b/>
                <w:bCs/>
                <w:sz w:val="24"/>
              </w:rPr>
              <w:t>职务</w:t>
            </w:r>
            <w:r w:rsidRPr="00B200B1">
              <w:rPr>
                <w:rFonts w:ascii="仿宋_GB2312" w:hint="eastAsia"/>
                <w:b/>
                <w:bCs/>
                <w:sz w:val="24"/>
              </w:rPr>
              <w:t>/</w:t>
            </w:r>
            <w:r w:rsidRPr="00B200B1">
              <w:rPr>
                <w:rFonts w:ascii="仿宋_GB2312" w:hAnsi="宋体" w:hint="eastAsia"/>
                <w:b/>
                <w:bCs/>
                <w:sz w:val="24"/>
              </w:rPr>
              <w:t>职称</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b/>
                <w:bCs/>
                <w:sz w:val="24"/>
              </w:rPr>
            </w:pPr>
            <w:r w:rsidRPr="00B200B1">
              <w:rPr>
                <w:rFonts w:ascii="仿宋_GB2312" w:hAnsi="宋体" w:hint="eastAsia"/>
                <w:b/>
                <w:bCs/>
                <w:sz w:val="24"/>
              </w:rPr>
              <w:t>从事专业</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b/>
                <w:bCs/>
                <w:sz w:val="24"/>
              </w:rPr>
            </w:pPr>
            <w:r w:rsidRPr="00B200B1">
              <w:rPr>
                <w:rFonts w:ascii="仿宋_GB2312" w:hAnsi="宋体" w:hint="eastAsia"/>
                <w:b/>
                <w:bCs/>
                <w:sz w:val="24"/>
              </w:rPr>
              <w:t>参与编制标准分工情况</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hAnsi="宋体"/>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覃祖添</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浦北县陈皮产业发展中心</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柑橘栽培技</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统筹主持标准编制工作</w:t>
            </w:r>
          </w:p>
        </w:tc>
      </w:tr>
      <w:tr w:rsidR="00B200B1" w:rsidRPr="00B200B1" w:rsidTr="00B200B1">
        <w:trPr>
          <w:cantSplit/>
          <w:trHeight w:val="857"/>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陈承娟</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高级农艺师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参与标准文本及编制说明编写，质量控制</w:t>
            </w:r>
          </w:p>
        </w:tc>
      </w:tr>
      <w:tr w:rsidR="00B200B1" w:rsidRPr="00B200B1" w:rsidTr="00B200B1">
        <w:trPr>
          <w:cantSplit/>
          <w:trHeight w:val="893"/>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李崇团</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植物保护</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参与标准编制工作，组织人员进行标准发布后的宣贯培训</w:t>
            </w:r>
          </w:p>
        </w:tc>
      </w:tr>
      <w:tr w:rsidR="00B200B1" w:rsidRPr="00B200B1" w:rsidTr="00B200B1">
        <w:trPr>
          <w:cantSplit/>
          <w:trHeight w:val="786"/>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黎斌</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90"/>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邓小红</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柑橘栽培技</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90"/>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易泽海</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技术培训</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胡</w:t>
            </w:r>
            <w:r w:rsidRPr="00B200B1">
              <w:rPr>
                <w:rFonts w:ascii="仿宋_GB2312" w:hint="eastAsia"/>
                <w:sz w:val="24"/>
              </w:rPr>
              <w:t xml:space="preserve">  </w:t>
            </w:r>
            <w:r w:rsidRPr="00B200B1">
              <w:rPr>
                <w:rFonts w:ascii="仿宋_GB2312" w:hAnsi="宋体" w:hint="eastAsia"/>
                <w:sz w:val="24"/>
              </w:rPr>
              <w:t>广</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吴远祥</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高级农艺师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张真建</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徐靖宏</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浦北县陈皮产业发展中心</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技术员</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园艺</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廖明珠</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浦北县陈皮产业发展中心</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技术员</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农残检测</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林振南</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植物保护</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张志平</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符小艳</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陈能浩</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广西中皮健康有限公司</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总经理</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符敬森</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广西</w:t>
            </w:r>
            <w:proofErr w:type="gramStart"/>
            <w:r w:rsidRPr="00B200B1">
              <w:rPr>
                <w:rFonts w:ascii="仿宋_GB2312" w:hAnsi="宋体" w:hint="eastAsia"/>
                <w:sz w:val="24"/>
              </w:rPr>
              <w:t>金浦龙陈皮</w:t>
            </w:r>
            <w:proofErr w:type="gramEnd"/>
            <w:r w:rsidRPr="00B200B1">
              <w:rPr>
                <w:rFonts w:ascii="仿宋_GB2312" w:hAnsi="宋体" w:hint="eastAsia"/>
                <w:sz w:val="24"/>
              </w:rPr>
              <w:t>科技产业有限公司</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总经理</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陈皮加工</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陈月明</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广西供销三冠陈皮有限公司</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总经理</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陈皮加工</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颜传新</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浦北县市场监督管理局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股长</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质量监控</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杨眉</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高级农艺师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叶茂培</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技术员</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黄陆珍</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8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庞魏</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高级农艺师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9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黄卡</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浦北县农业农村局</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作物栽培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9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张华</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9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邓山秀</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9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吴冰</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助理农艺师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9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郑顺兰</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技术员</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r w:rsidR="00B200B1" w:rsidRPr="00B200B1" w:rsidTr="00B200B1">
        <w:trPr>
          <w:cantSplit/>
          <w:trHeight w:val="891"/>
          <w:jc w:val="center"/>
        </w:trPr>
        <w:tc>
          <w:tcPr>
            <w:tcW w:w="356" w:type="pct"/>
            <w:tcBorders>
              <w:top w:val="single" w:sz="4" w:space="0" w:color="auto"/>
              <w:left w:val="single" w:sz="4" w:space="0" w:color="auto"/>
              <w:bottom w:val="single" w:sz="4" w:space="0" w:color="auto"/>
              <w:right w:val="single" w:sz="4" w:space="0" w:color="auto"/>
            </w:tcBorders>
            <w:vAlign w:val="center"/>
            <w:hideMark/>
          </w:tcPr>
          <w:p w:rsidR="00B200B1" w:rsidRPr="00B200B1" w:rsidRDefault="00B200B1" w:rsidP="00B200B1">
            <w:pPr>
              <w:numPr>
                <w:ilvl w:val="0"/>
                <w:numId w:val="11"/>
              </w:numPr>
              <w:tabs>
                <w:tab w:val="left" w:pos="420"/>
              </w:tabs>
              <w:ind w:left="0" w:firstLineChars="0" w:firstLine="0"/>
              <w:jc w:val="center"/>
              <w:rPr>
                <w:rFonts w:ascii="仿宋_GB2312"/>
                <w:sz w:val="24"/>
              </w:rPr>
            </w:pPr>
          </w:p>
        </w:tc>
        <w:tc>
          <w:tcPr>
            <w:tcW w:w="63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陈善锋</w:t>
            </w:r>
          </w:p>
        </w:tc>
        <w:tc>
          <w:tcPr>
            <w:tcW w:w="925"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浦北县陈皮行业协会</w:t>
            </w:r>
          </w:p>
        </w:tc>
        <w:tc>
          <w:tcPr>
            <w:tcW w:w="819"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高级农艺师</w:t>
            </w:r>
          </w:p>
        </w:tc>
        <w:tc>
          <w:tcPr>
            <w:tcW w:w="801"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jc w:val="center"/>
              <w:rPr>
                <w:rFonts w:ascii="仿宋_GB2312" w:hAnsi="宋体"/>
                <w:sz w:val="24"/>
              </w:rPr>
            </w:pPr>
            <w:r w:rsidRPr="00B200B1">
              <w:rPr>
                <w:rFonts w:ascii="仿宋_GB2312" w:hAnsi="宋体" w:hint="eastAsia"/>
                <w:sz w:val="24"/>
              </w:rPr>
              <w:t>柑橘栽培</w:t>
            </w:r>
          </w:p>
        </w:tc>
        <w:tc>
          <w:tcPr>
            <w:tcW w:w="1467" w:type="pct"/>
            <w:tcBorders>
              <w:top w:val="single" w:sz="4" w:space="0" w:color="auto"/>
              <w:left w:val="nil"/>
              <w:bottom w:val="single" w:sz="4" w:space="0" w:color="auto"/>
              <w:right w:val="single" w:sz="4" w:space="0" w:color="auto"/>
            </w:tcBorders>
            <w:vAlign w:val="center"/>
            <w:hideMark/>
          </w:tcPr>
          <w:p w:rsidR="00B200B1" w:rsidRPr="00B200B1" w:rsidRDefault="00B200B1" w:rsidP="00B200B1">
            <w:pPr>
              <w:ind w:firstLineChars="0" w:firstLine="0"/>
              <w:rPr>
                <w:rFonts w:ascii="仿宋_GB2312" w:hAnsi="宋体"/>
                <w:sz w:val="24"/>
              </w:rPr>
            </w:pPr>
            <w:r w:rsidRPr="00B200B1">
              <w:rPr>
                <w:rFonts w:ascii="仿宋_GB2312" w:hint="eastAsia"/>
                <w:sz w:val="24"/>
              </w:rPr>
              <w:t>参与标准文本及编制说明的编写；组织开展标准征求意见会；对标准实施情况进行总结分析，不断对标准提出修正意见</w:t>
            </w:r>
          </w:p>
        </w:tc>
      </w:tr>
    </w:tbl>
    <w:p w:rsidR="009A0C7B" w:rsidRPr="004B2637" w:rsidRDefault="00992D31">
      <w:pPr>
        <w:autoSpaceDE w:val="0"/>
        <w:autoSpaceDN w:val="0"/>
        <w:adjustRightInd w:val="0"/>
        <w:ind w:firstLine="640"/>
        <w:jc w:val="left"/>
        <w:rPr>
          <w:rFonts w:ascii="黑体" w:eastAsia="黑体" w:hAnsi="黑体" w:cs="仿宋_GB2312"/>
          <w:szCs w:val="32"/>
        </w:rPr>
      </w:pPr>
      <w:r w:rsidRPr="004B2637">
        <w:rPr>
          <w:rFonts w:ascii="黑体" w:eastAsia="黑体" w:hAnsi="黑体" w:cs="仿宋_GB2312" w:hint="eastAsia"/>
          <w:szCs w:val="32"/>
        </w:rPr>
        <w:t>二、制定标准的必要性和意义</w:t>
      </w:r>
    </w:p>
    <w:p w:rsidR="00266510" w:rsidRPr="00266510"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国务院印发《关于促进乡村产业振兴的指导意见》（国发〔2019〕12号）明确指出促进乡村产业振兴，要坚持因地制宜、突出特色，市场导向、政府支持，融合发展、联农带农，绿色引领、创新驱动等原则，把以农业农村资源为依托的二三产业尽量留在农村，把农业产业链的增值收益、就业岗位尽量留给农民。力争用5－10年时间，农村一二三产业融合发展增加值占县域生产总值的比重实现较大幅度提高，乡村产业振兴取得重要进展。2022年中央一号文件《中共中央 国务院关于做好2022年全面推进乡村振兴重点工作的意见》指出要稳住农业基本盘、做好“三农”工作，接续全面推进乡村振兴，确保农业稳产增产、农民稳步增收、农村稳定安宁，持续推进农村一二三产业融合发展，大力发展县域富民产业，加强县域商业体系建设，促进农民就地就</w:t>
      </w:r>
      <w:r w:rsidRPr="00266510">
        <w:rPr>
          <w:rFonts w:ascii="仿宋_GB2312" w:hAnsi="仿宋_GB2312" w:cs="仿宋_GB2312" w:hint="eastAsia"/>
          <w:szCs w:val="28"/>
        </w:rPr>
        <w:lastRenderedPageBreak/>
        <w:t>近就业创业，推进农业农村绿色发展。浦北县委、县人民政府紧紧依托《钦州市人民政府与广州市人民政府国有资产监督管理委员会战略合作框架协议》等协作机制，计划引进中药老字号“陈李济”“王老吉”等企业参与浦北陈皮相关生产、加工、储存等技术标准的制订，为浦北陈皮产业的发展增添底气。2022年3月浦北县出台《浦北县陈皮产业高质量发展五年行动方案（2022—2026年）》，在产业布局、良种培育、生产、研发、推广等方面实行“一条龙”服务，力争到2026年，全县大红</w:t>
      </w:r>
      <w:proofErr w:type="gramStart"/>
      <w:r w:rsidRPr="00266510">
        <w:rPr>
          <w:rFonts w:ascii="仿宋_GB2312" w:hAnsi="仿宋_GB2312" w:cs="仿宋_GB2312" w:hint="eastAsia"/>
          <w:szCs w:val="28"/>
        </w:rPr>
        <w:t>柑</w:t>
      </w:r>
      <w:proofErr w:type="gramEnd"/>
      <w:r w:rsidRPr="00266510">
        <w:rPr>
          <w:rFonts w:ascii="仿宋_GB2312" w:hAnsi="仿宋_GB2312" w:cs="仿宋_GB2312" w:hint="eastAsia"/>
          <w:szCs w:val="28"/>
        </w:rPr>
        <w:t>种植面积累计15万亩，年产鲜果30万吨以上，年产陈皮1.5万吨以上；培育陈皮龙头企业、规模以上企业10家以上，力争就地加工能力达90%以上，实现浦北陈皮产业一二三产融合发展产值超100亿元。下一步，该县将围绕推进浦北现有陈皮产业的合作社、中小企业转型升级，进行产业规划调整、加快申报国家地理标志等，推动陈皮产业</w:t>
      </w:r>
      <w:proofErr w:type="gramStart"/>
      <w:r w:rsidRPr="00266510">
        <w:rPr>
          <w:rFonts w:ascii="仿宋_GB2312" w:hAnsi="仿宋_GB2312" w:cs="仿宋_GB2312" w:hint="eastAsia"/>
          <w:szCs w:val="28"/>
        </w:rPr>
        <w:t>走深走实</w:t>
      </w:r>
      <w:proofErr w:type="gramEnd"/>
      <w:r w:rsidRPr="00266510">
        <w:rPr>
          <w:rFonts w:ascii="仿宋_GB2312" w:hAnsi="仿宋_GB2312" w:cs="仿宋_GB2312" w:hint="eastAsia"/>
          <w:szCs w:val="28"/>
        </w:rPr>
        <w:t>。</w:t>
      </w:r>
    </w:p>
    <w:p w:rsidR="00A36B38"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浦北县手握“世界长寿之乡”“中国长寿之乡”“中国富硒农业示范县”等金字招牌，浦北县委、县人民政府继续向摘取“中国陈皮之乡”目标挺进。按照“一产接二连三”的发展思路，该县积极推进陈皮产业延长产业链、提升价值链。通过挖掘浦北陈皮产业发展潜力，该县已谋划布局浦北陈皮产业“产供销”一体化项目。浦北县把做大做强陈皮产业作为头等项目、头号工程来抓，精心服务、全力护航陈皮产业发展。经过长期探索和实践，浦北陈皮制作技艺日臻成熟，成为助农增收致富的“利器”。浦</w:t>
      </w:r>
      <w:r w:rsidRPr="00266510">
        <w:rPr>
          <w:rFonts w:ascii="仿宋_GB2312" w:hAnsi="仿宋_GB2312" w:cs="仿宋_GB2312" w:hint="eastAsia"/>
          <w:szCs w:val="28"/>
        </w:rPr>
        <w:lastRenderedPageBreak/>
        <w:t>北陈皮制作技艺入选钦州市第七批市级非物质文化遗产代表性项目名录。未来，将引导企业开发陈皮小吃、陈皮果脯、陈皮茶、陈皮饼、陈皮汁、陈皮酒、陈皮蜜饯、陈皮菜品等独具地方特色的系列产品，形成一批陈皮加工的龙头企业。今年5月份，在自治区文化和旅游厅主办的2022年“广西有礼”特色旅游商品大赛中，“浦北陈皮饼”荣获铜奖。</w:t>
      </w:r>
    </w:p>
    <w:p w:rsidR="00266510" w:rsidRPr="00266510"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陈皮又称橘皮，为芸香科植物</w:t>
      </w:r>
      <w:proofErr w:type="gramStart"/>
      <w:r w:rsidRPr="00266510">
        <w:rPr>
          <w:rFonts w:ascii="仿宋_GB2312" w:hAnsi="仿宋_GB2312" w:cs="仿宋_GB2312" w:hint="eastAsia"/>
          <w:szCs w:val="28"/>
        </w:rPr>
        <w:t>橘</w:t>
      </w:r>
      <w:proofErr w:type="gramEnd"/>
      <w:r w:rsidRPr="00266510">
        <w:rPr>
          <w:rFonts w:ascii="仿宋_GB2312" w:hAnsi="仿宋_GB2312" w:cs="仿宋_GB2312" w:hint="eastAsia"/>
          <w:szCs w:val="28"/>
        </w:rPr>
        <w:t xml:space="preserve"> Citrus </w:t>
      </w:r>
      <w:proofErr w:type="spellStart"/>
      <w:r w:rsidRPr="00266510">
        <w:rPr>
          <w:rFonts w:ascii="仿宋_GB2312" w:hAnsi="仿宋_GB2312" w:cs="仿宋_GB2312" w:hint="eastAsia"/>
          <w:szCs w:val="28"/>
        </w:rPr>
        <w:t>reticulata</w:t>
      </w:r>
      <w:proofErr w:type="spellEnd"/>
      <w:r w:rsidRPr="00266510">
        <w:rPr>
          <w:rFonts w:ascii="仿宋_GB2312" w:hAnsi="仿宋_GB2312" w:cs="仿宋_GB2312" w:hint="eastAsia"/>
          <w:szCs w:val="28"/>
        </w:rPr>
        <w:t xml:space="preserve"> Blanco 及其栽培变种的干燥成熟果皮。中医理论认为它具有理气健脾、潮湿化痰等功效。主治脾胃气滞、</w:t>
      </w:r>
      <w:proofErr w:type="gramStart"/>
      <w:r w:rsidRPr="00266510">
        <w:rPr>
          <w:rFonts w:ascii="仿宋_GB2312" w:hAnsi="仿宋_GB2312" w:cs="仿宋_GB2312" w:hint="eastAsia"/>
          <w:szCs w:val="28"/>
        </w:rPr>
        <w:t>脘</w:t>
      </w:r>
      <w:proofErr w:type="gramEnd"/>
      <w:r w:rsidRPr="00266510">
        <w:rPr>
          <w:rFonts w:ascii="仿宋_GB2312" w:hAnsi="仿宋_GB2312" w:cs="仿宋_GB2312" w:hint="eastAsia"/>
          <w:szCs w:val="28"/>
        </w:rPr>
        <w:t>腹胀满、消化不良、呕吐呃逆。现代医学给出更详尽的解释，陈皮主要含有黄酮类、生物碱类、挥发油以及多糖类成分。</w:t>
      </w:r>
    </w:p>
    <w:p w:rsidR="00266510" w:rsidRPr="00266510"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浦北陈皮是广西浦北县特有的名优产品，其原料大红</w:t>
      </w:r>
      <w:proofErr w:type="gramStart"/>
      <w:r w:rsidRPr="00266510">
        <w:rPr>
          <w:rFonts w:ascii="仿宋_GB2312" w:hAnsi="仿宋_GB2312" w:cs="仿宋_GB2312" w:hint="eastAsia"/>
          <w:szCs w:val="28"/>
        </w:rPr>
        <w:t>柑</w:t>
      </w:r>
      <w:proofErr w:type="gramEnd"/>
      <w:r w:rsidRPr="00266510">
        <w:rPr>
          <w:rFonts w:ascii="仿宋_GB2312" w:hAnsi="仿宋_GB2312" w:cs="仿宋_GB2312" w:hint="eastAsia"/>
          <w:szCs w:val="28"/>
        </w:rPr>
        <w:t>种植历史可追溯至明清，得益于浦北县独特的富硒土壤和六万大山形成的天然生态屏障，所产陈皮具有皮厚、油丰、香气十足的特点。近年来，浦北陈皮产业发展迅猛，截至2024年，全县大红</w:t>
      </w:r>
      <w:proofErr w:type="gramStart"/>
      <w:r w:rsidRPr="00266510">
        <w:rPr>
          <w:rFonts w:ascii="仿宋_GB2312" w:hAnsi="仿宋_GB2312" w:cs="仿宋_GB2312" w:hint="eastAsia"/>
          <w:szCs w:val="28"/>
        </w:rPr>
        <w:t>柑</w:t>
      </w:r>
      <w:proofErr w:type="gramEnd"/>
      <w:r w:rsidRPr="00266510">
        <w:rPr>
          <w:rFonts w:ascii="仿宋_GB2312" w:hAnsi="仿宋_GB2312" w:cs="仿宋_GB2312" w:hint="eastAsia"/>
          <w:szCs w:val="28"/>
        </w:rPr>
        <w:t>种植面积已突破17万亩，陈皮产业产值超过60亿元，带动当地10万群众增收，成为推动乡村振兴的支柱产业。浦北陈皮制作技艺已入选自治区级非物质文化遗产代表性项目，其价值随陈化年限增加而提升，素有“一两陈皮一两金，百年陈皮赛黄金”之说。随着平陆运河的建设开通，浦北陈皮出口东南亚等国际市场的机遇日益增加，产业发展前景广阔。</w:t>
      </w:r>
    </w:p>
    <w:p w:rsidR="00266510" w:rsidRPr="00266510"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目前，浦北县已开始积极探索大红柑的智慧种植模式。例如，</w:t>
      </w:r>
      <w:r w:rsidRPr="00266510">
        <w:rPr>
          <w:rFonts w:ascii="仿宋_GB2312" w:hAnsi="仿宋_GB2312" w:cs="仿宋_GB2312" w:hint="eastAsia"/>
          <w:szCs w:val="28"/>
        </w:rPr>
        <w:lastRenderedPageBreak/>
        <w:t>在平睦镇和三合镇等示范基地，试点应用了智能数字化管理系统，包括水肥一体化自动灌溉、农用无人机、</w:t>
      </w:r>
      <w:proofErr w:type="gramStart"/>
      <w:r w:rsidRPr="00266510">
        <w:rPr>
          <w:rFonts w:ascii="仿宋_GB2312" w:hAnsi="仿宋_GB2312" w:cs="仿宋_GB2312" w:hint="eastAsia"/>
          <w:szCs w:val="28"/>
        </w:rPr>
        <w:t>雾炮机等</w:t>
      </w:r>
      <w:proofErr w:type="gramEnd"/>
      <w:r w:rsidRPr="00266510">
        <w:rPr>
          <w:rFonts w:ascii="仿宋_GB2312" w:hAnsi="仿宋_GB2312" w:cs="仿宋_GB2312" w:hint="eastAsia"/>
          <w:szCs w:val="28"/>
        </w:rPr>
        <w:t>智能科技装备。同时，浦北县与北部湾产权交易所合作搭建智能交易平台，并推动老树陈皮的"可视化+数字化"溯源建设，为部分老树建立了电子身份证。此外，该县还通过开展智慧果园建设，构建了柑橘生产主体"</w:t>
      </w:r>
      <w:proofErr w:type="gramStart"/>
      <w:r w:rsidRPr="00266510">
        <w:rPr>
          <w:rFonts w:ascii="仿宋_GB2312" w:hAnsi="仿宋_GB2312" w:cs="仿宋_GB2312" w:hint="eastAsia"/>
          <w:szCs w:val="28"/>
        </w:rPr>
        <w:t>一</w:t>
      </w:r>
      <w:proofErr w:type="gramEnd"/>
      <w:r w:rsidRPr="00266510">
        <w:rPr>
          <w:rFonts w:ascii="仿宋_GB2312" w:hAnsi="仿宋_GB2312" w:cs="仿宋_GB2312" w:hint="eastAsia"/>
          <w:szCs w:val="28"/>
        </w:rPr>
        <w:t>企一码"和产品"一物一码"体系，推动果园管理从田间劳作向手机电脑云端操作转变。尽管已有这些探索，但当前的智慧种植园建设仍处于零散化、碎片化状态，缺乏统一的技术标准和管理规范来系统指导基地规划、智能装备配置、数据采集与应用以及精准化管理流程，导致技术应用的规模效益和整体效能未能充分发挥。因此，亟需通过制定团体标准，将行之有效的技术和管理实践进行固化与推广。</w:t>
      </w:r>
    </w:p>
    <w:p w:rsidR="00266510" w:rsidRPr="00266510"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制定标准是推动浦北大红</w:t>
      </w:r>
      <w:proofErr w:type="gramStart"/>
      <w:r w:rsidRPr="00266510">
        <w:rPr>
          <w:rFonts w:ascii="仿宋_GB2312" w:hAnsi="仿宋_GB2312" w:cs="仿宋_GB2312" w:hint="eastAsia"/>
          <w:szCs w:val="28"/>
        </w:rPr>
        <w:t>柑产业</w:t>
      </w:r>
      <w:proofErr w:type="gramEnd"/>
      <w:r w:rsidRPr="00266510">
        <w:rPr>
          <w:rFonts w:ascii="仿宋_GB2312" w:hAnsi="仿宋_GB2312" w:cs="仿宋_GB2312" w:hint="eastAsia"/>
          <w:szCs w:val="28"/>
        </w:rPr>
        <w:t>标准化、智慧化、品牌化发展的核心引擎。该标准将系统规定智慧种植园在园区规划、物联网基础设施（如传感器网络、自动气象站）、智能装备（如水肥一体化系统、无人机）、数据平台与管理模型等方面的技术要求，以及土壤肥料、树体、花果、病虫害的精准化管理规程。通过标准化推广，可以实现种植过程的精准管控与节本增效，例如，使用智能灌溉系统后，农户反馈管护效率显著提升。标准中纳入的溯源技术，能为每一份大红</w:t>
      </w:r>
      <w:proofErr w:type="gramStart"/>
      <w:r w:rsidRPr="00266510">
        <w:rPr>
          <w:rFonts w:ascii="仿宋_GB2312" w:hAnsi="仿宋_GB2312" w:cs="仿宋_GB2312" w:hint="eastAsia"/>
          <w:szCs w:val="28"/>
        </w:rPr>
        <w:t>柑</w:t>
      </w:r>
      <w:proofErr w:type="gramEnd"/>
      <w:r w:rsidRPr="00266510">
        <w:rPr>
          <w:rFonts w:ascii="仿宋_GB2312" w:hAnsi="仿宋_GB2312" w:cs="仿宋_GB2312" w:hint="eastAsia"/>
          <w:szCs w:val="28"/>
        </w:rPr>
        <w:t>产品建立唯一的"数字身份证"，结合浦北已搭建的陈皮溯源数据库，实现从果园到消费终端的全程质量可追溯，有效保障浦北陈皮"生态+绿色+富硒"的品牌形象，</w:t>
      </w:r>
      <w:r w:rsidRPr="00266510">
        <w:rPr>
          <w:rFonts w:ascii="仿宋_GB2312" w:hAnsi="仿宋_GB2312" w:cs="仿宋_GB2312" w:hint="eastAsia"/>
          <w:szCs w:val="28"/>
        </w:rPr>
        <w:lastRenderedPageBreak/>
        <w:t>增强市场信任度。同时，标准也是衔接浦北陈皮资源链、产品链、销售链、品牌链、</w:t>
      </w:r>
      <w:proofErr w:type="gramStart"/>
      <w:r w:rsidRPr="00266510">
        <w:rPr>
          <w:rFonts w:ascii="仿宋_GB2312" w:hAnsi="仿宋_GB2312" w:cs="仿宋_GB2312" w:hint="eastAsia"/>
          <w:szCs w:val="28"/>
        </w:rPr>
        <w:t>数智链</w:t>
      </w:r>
      <w:proofErr w:type="gramEnd"/>
      <w:r w:rsidRPr="00266510">
        <w:rPr>
          <w:rFonts w:ascii="仿宋_GB2312" w:hAnsi="仿宋_GB2312" w:cs="仿宋_GB2312" w:hint="eastAsia"/>
          <w:szCs w:val="28"/>
        </w:rPr>
        <w:t>协同发展战略的关键一环，为产业数字化转型提供统一技术依据，助力浦北大红</w:t>
      </w:r>
      <w:proofErr w:type="gramStart"/>
      <w:r w:rsidRPr="00266510">
        <w:rPr>
          <w:rFonts w:ascii="仿宋_GB2312" w:hAnsi="仿宋_GB2312" w:cs="仿宋_GB2312" w:hint="eastAsia"/>
          <w:szCs w:val="28"/>
        </w:rPr>
        <w:t>柑产业</w:t>
      </w:r>
      <w:proofErr w:type="gramEnd"/>
      <w:r w:rsidRPr="00266510">
        <w:rPr>
          <w:rFonts w:ascii="仿宋_GB2312" w:hAnsi="仿宋_GB2312" w:cs="仿宋_GB2312" w:hint="eastAsia"/>
          <w:szCs w:val="28"/>
        </w:rPr>
        <w:t>高质量发展和农民持续增收，为最终实现百亿元产值目标奠定坚实的产业基础。</w:t>
      </w:r>
    </w:p>
    <w:p w:rsidR="009A0C7B" w:rsidRDefault="00266510" w:rsidP="00266510">
      <w:pPr>
        <w:autoSpaceDE w:val="0"/>
        <w:autoSpaceDN w:val="0"/>
        <w:adjustRightInd w:val="0"/>
        <w:ind w:firstLine="640"/>
        <w:rPr>
          <w:rFonts w:ascii="仿宋_GB2312" w:hAnsi="仿宋_GB2312" w:cs="仿宋_GB2312"/>
          <w:szCs w:val="28"/>
        </w:rPr>
      </w:pPr>
      <w:r w:rsidRPr="00266510">
        <w:rPr>
          <w:rFonts w:ascii="仿宋_GB2312" w:hAnsi="仿宋_GB2312" w:cs="仿宋_GB2312" w:hint="eastAsia"/>
          <w:szCs w:val="28"/>
        </w:rPr>
        <w:t>通过团体标准《大红柑智慧种植园建设与管理规范》的制定与实施，以标准为抓手，统一规范大红</w:t>
      </w:r>
      <w:proofErr w:type="gramStart"/>
      <w:r w:rsidRPr="00266510">
        <w:rPr>
          <w:rFonts w:ascii="仿宋_GB2312" w:hAnsi="仿宋_GB2312" w:cs="仿宋_GB2312" w:hint="eastAsia"/>
          <w:szCs w:val="28"/>
        </w:rPr>
        <w:t>柑</w:t>
      </w:r>
      <w:proofErr w:type="gramEnd"/>
      <w:r w:rsidRPr="00266510">
        <w:rPr>
          <w:rFonts w:ascii="仿宋_GB2312" w:hAnsi="仿宋_GB2312" w:cs="仿宋_GB2312" w:hint="eastAsia"/>
          <w:szCs w:val="28"/>
        </w:rPr>
        <w:t>智慧种植园建设与管理要求，提高智慧种植园建设与管理水平，提高企业及农民经济效益，确保浦北陈皮产业往规模化、规范化方向发展，推动我区浦北陈皮产业高质量发展具有重要意义。</w:t>
      </w:r>
    </w:p>
    <w:p w:rsidR="009A0C7B" w:rsidRPr="004B2637" w:rsidRDefault="00992D31">
      <w:pPr>
        <w:autoSpaceDE w:val="0"/>
        <w:autoSpaceDN w:val="0"/>
        <w:adjustRightInd w:val="0"/>
        <w:ind w:firstLine="640"/>
        <w:jc w:val="left"/>
        <w:rPr>
          <w:rFonts w:ascii="黑体" w:eastAsia="黑体" w:hAnsi="黑体" w:cs="仿宋_GB2312"/>
          <w:szCs w:val="32"/>
        </w:rPr>
      </w:pPr>
      <w:r w:rsidRPr="004B2637">
        <w:rPr>
          <w:rFonts w:ascii="黑体" w:eastAsia="黑体" w:hAnsi="黑体" w:cs="仿宋_GB2312" w:hint="eastAsia"/>
          <w:szCs w:val="32"/>
        </w:rPr>
        <w:t>三、主要起草过程</w:t>
      </w:r>
    </w:p>
    <w:p w:rsidR="009A0C7B" w:rsidRDefault="00992D31">
      <w:pPr>
        <w:ind w:firstLine="643"/>
        <w:rPr>
          <w:rFonts w:ascii="仿宋_GB2312" w:hAnsi="仿宋_GB2312" w:cs="仿宋_GB2312"/>
          <w:szCs w:val="28"/>
        </w:rPr>
      </w:pPr>
      <w:r>
        <w:rPr>
          <w:rFonts w:ascii="仿宋_GB2312" w:hAnsi="仿宋_GB2312" w:cs="仿宋_GB2312" w:hint="eastAsia"/>
          <w:b/>
          <w:szCs w:val="28"/>
        </w:rPr>
        <w:t>（一）成立标准编制工作组</w:t>
      </w:r>
    </w:p>
    <w:p w:rsidR="009A0C7B" w:rsidRDefault="00992D31">
      <w:pPr>
        <w:ind w:firstLine="640"/>
        <w:rPr>
          <w:rFonts w:ascii="仿宋_GB2312" w:hAnsi="仿宋_GB2312" w:cs="仿宋_GB2312"/>
          <w:szCs w:val="28"/>
        </w:rPr>
      </w:pPr>
      <w:r>
        <w:rPr>
          <w:rFonts w:ascii="仿宋_GB2312" w:hAnsi="仿宋_GB2312" w:cs="仿宋_GB2312" w:hint="eastAsia"/>
          <w:szCs w:val="28"/>
        </w:rPr>
        <w:t>团体标准《</w:t>
      </w:r>
      <w:r w:rsidR="00027D4D">
        <w:rPr>
          <w:rFonts w:ascii="仿宋_GB2312" w:hAnsi="仿宋_GB2312" w:cs="仿宋_GB2312" w:hint="eastAsia"/>
          <w:szCs w:val="28"/>
        </w:rPr>
        <w:t>大红柑智慧种植园建设与管理规范</w:t>
      </w:r>
      <w:r>
        <w:rPr>
          <w:rFonts w:ascii="仿宋_GB2312" w:hAnsi="仿宋_GB2312" w:cs="仿宋_GB2312" w:hint="eastAsia"/>
          <w:szCs w:val="28"/>
        </w:rPr>
        <w:t>》项目任务下达后，</w:t>
      </w:r>
      <w:r w:rsidR="00266510" w:rsidRPr="00266510">
        <w:rPr>
          <w:rFonts w:ascii="仿宋_GB2312" w:hAnsi="仿宋_GB2312" w:cs="仿宋_GB2312" w:hint="eastAsia"/>
          <w:szCs w:val="28"/>
        </w:rPr>
        <w:t>浦北县农业农村局</w:t>
      </w:r>
      <w:r>
        <w:rPr>
          <w:rFonts w:ascii="仿宋_GB2312" w:hAnsi="仿宋_GB2312" w:cs="仿宋_GB2312" w:hint="eastAsia"/>
          <w:szCs w:val="28"/>
        </w:rPr>
        <w:t>成立了标准编制工作组，起草单位制定了起草编写方案与进度安排，明确任务职责，确定工作技术路线，开展标准研制工作。具体标准编制工作由</w:t>
      </w:r>
      <w:r w:rsidR="00266510" w:rsidRPr="00266510">
        <w:rPr>
          <w:rFonts w:ascii="仿宋_GB2312" w:hAnsi="仿宋_GB2312" w:cs="仿宋_GB2312" w:hint="eastAsia"/>
          <w:szCs w:val="28"/>
        </w:rPr>
        <w:t>浦北县农业农村局、浦北县市场监督管理局、浦北县陈皮产业发展中心、浦北县陈皮行业协会、广西中皮健康有限公司、广西</w:t>
      </w:r>
      <w:proofErr w:type="gramStart"/>
      <w:r w:rsidR="00266510" w:rsidRPr="00266510">
        <w:rPr>
          <w:rFonts w:ascii="仿宋_GB2312" w:hAnsi="仿宋_GB2312" w:cs="仿宋_GB2312" w:hint="eastAsia"/>
          <w:szCs w:val="28"/>
        </w:rPr>
        <w:t>金浦龙陈皮</w:t>
      </w:r>
      <w:proofErr w:type="gramEnd"/>
      <w:r w:rsidR="00266510" w:rsidRPr="00266510">
        <w:rPr>
          <w:rFonts w:ascii="仿宋_GB2312" w:hAnsi="仿宋_GB2312" w:cs="仿宋_GB2312" w:hint="eastAsia"/>
          <w:szCs w:val="28"/>
        </w:rPr>
        <w:t>科技产业有限公司、广西供销三冠陈皮有限公司</w:t>
      </w:r>
      <w:r>
        <w:rPr>
          <w:rFonts w:ascii="仿宋_GB2312" w:hAnsi="仿宋_GB2312" w:cs="仿宋_GB2312" w:hint="eastAsia"/>
          <w:szCs w:val="28"/>
        </w:rPr>
        <w:t>等单位负责人组成的标准编制工作组完成。</w:t>
      </w:r>
    </w:p>
    <w:p w:rsidR="009A0C7B" w:rsidRDefault="00992D31">
      <w:pPr>
        <w:ind w:firstLine="640"/>
        <w:rPr>
          <w:rFonts w:ascii="仿宋_GB2312" w:hAnsi="仿宋_GB2312" w:cs="仿宋_GB2312"/>
          <w:szCs w:val="28"/>
        </w:rPr>
      </w:pPr>
      <w:r>
        <w:rPr>
          <w:rFonts w:ascii="仿宋_GB2312" w:hAnsi="仿宋_GB2312" w:cs="仿宋_GB2312" w:hint="eastAsia"/>
          <w:szCs w:val="28"/>
        </w:rPr>
        <w:t>编制工作组下设三个组，分别是资料收集组、草案编写组、标准实施组。</w:t>
      </w:r>
    </w:p>
    <w:p w:rsidR="009A0C7B" w:rsidRDefault="00992D31">
      <w:pPr>
        <w:ind w:firstLine="640"/>
        <w:rPr>
          <w:rFonts w:ascii="仿宋_GB2312" w:hAnsi="仿宋_GB2312" w:cs="仿宋_GB2312"/>
          <w:szCs w:val="28"/>
        </w:rPr>
      </w:pPr>
      <w:r>
        <w:rPr>
          <w:rFonts w:ascii="仿宋_GB2312" w:hAnsi="仿宋_GB2312" w:cs="仿宋_GB2312" w:hint="eastAsia"/>
          <w:szCs w:val="28"/>
        </w:rPr>
        <w:t>资料收集组负责国内外有关</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sidR="00A36B38">
        <w:rPr>
          <w:rFonts w:ascii="仿宋_GB2312" w:hAnsi="仿宋_GB2312" w:cs="仿宋_GB2312" w:hint="eastAsia"/>
          <w:szCs w:val="28"/>
        </w:rPr>
        <w:lastRenderedPageBreak/>
        <w:t>的测定</w:t>
      </w:r>
      <w:r>
        <w:rPr>
          <w:rFonts w:ascii="仿宋_GB2312" w:hAnsi="仿宋_GB2312" w:cs="仿宋_GB2312" w:hint="eastAsia"/>
          <w:szCs w:val="28"/>
        </w:rPr>
        <w:t>的文献资料的查询、收集和整理工作，查阅前人对</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sidR="00A36B38">
        <w:rPr>
          <w:rFonts w:ascii="仿宋_GB2312" w:hAnsi="仿宋_GB2312" w:cs="仿宋_GB2312" w:hint="eastAsia"/>
          <w:szCs w:val="28"/>
        </w:rPr>
        <w:t>的测定</w:t>
      </w:r>
      <w:r>
        <w:rPr>
          <w:rFonts w:ascii="仿宋_GB2312" w:hAnsi="仿宋_GB2312" w:cs="仿宋_GB2312" w:hint="eastAsia"/>
          <w:szCs w:val="28"/>
        </w:rPr>
        <w:t>的研究情况。</w:t>
      </w:r>
    </w:p>
    <w:p w:rsidR="009A0C7B" w:rsidRDefault="00992D31">
      <w:pPr>
        <w:ind w:firstLine="640"/>
        <w:rPr>
          <w:rFonts w:ascii="仿宋_GB2312" w:hAnsi="仿宋_GB2312" w:cs="仿宋_GB2312"/>
          <w:szCs w:val="28"/>
        </w:rPr>
      </w:pPr>
      <w:r>
        <w:rPr>
          <w:rFonts w:ascii="仿宋_GB2312" w:hAnsi="仿宋_GB2312" w:cs="仿宋_GB2312" w:hint="eastAsia"/>
          <w:szCs w:val="28"/>
        </w:rPr>
        <w:t>草案编写组负责起草标准草案、征求意见稿和标准编制说明、送审稿及编制说明的编写工作，包括后期召开征求意见会、网上征求意见，以及标准的不断修改和完善。</w:t>
      </w:r>
    </w:p>
    <w:p w:rsidR="009A0C7B" w:rsidRDefault="00992D31">
      <w:pPr>
        <w:ind w:firstLine="640"/>
        <w:rPr>
          <w:rFonts w:ascii="仿宋_GB2312" w:hAnsi="仿宋_GB2312" w:cs="仿宋_GB2312"/>
          <w:szCs w:val="28"/>
        </w:rPr>
      </w:pPr>
      <w:r>
        <w:rPr>
          <w:rFonts w:ascii="仿宋_GB2312" w:hAnsi="仿宋_GB2312" w:cs="仿宋_GB2312" w:hint="eastAsia"/>
          <w:szCs w:val="28"/>
        </w:rPr>
        <w:t>标准</w:t>
      </w:r>
      <w:proofErr w:type="gramStart"/>
      <w:r>
        <w:rPr>
          <w:rFonts w:ascii="仿宋_GB2312" w:hAnsi="仿宋_GB2312" w:cs="仿宋_GB2312" w:hint="eastAsia"/>
          <w:szCs w:val="28"/>
        </w:rPr>
        <w:t>实施组</w:t>
      </w:r>
      <w:proofErr w:type="gramEnd"/>
      <w:r>
        <w:rPr>
          <w:rFonts w:ascii="仿宋_GB2312" w:hAnsi="仿宋_GB2312" w:cs="仿宋_GB2312" w:hint="eastAsia"/>
          <w:szCs w:val="28"/>
        </w:rPr>
        <w:t>负责团体标准《</w:t>
      </w:r>
      <w:r w:rsidR="00027D4D">
        <w:rPr>
          <w:rFonts w:ascii="仿宋_GB2312" w:hAnsi="仿宋_GB2312" w:cs="仿宋_GB2312" w:hint="eastAsia"/>
          <w:szCs w:val="28"/>
        </w:rPr>
        <w:t>大红柑智慧种植园建设与管理规范</w:t>
      </w:r>
      <w:r>
        <w:rPr>
          <w:rFonts w:ascii="仿宋_GB2312" w:hAnsi="仿宋_GB2312" w:cs="仿宋_GB2312" w:hint="eastAsia"/>
          <w:szCs w:val="28"/>
        </w:rPr>
        <w:t>》发布后，组织相关企事业单位开展标准宣</w:t>
      </w:r>
      <w:proofErr w:type="gramStart"/>
      <w:r>
        <w:rPr>
          <w:rFonts w:ascii="仿宋_GB2312" w:hAnsi="仿宋_GB2312" w:cs="仿宋_GB2312" w:hint="eastAsia"/>
          <w:szCs w:val="28"/>
        </w:rPr>
        <w:t>贯培训</w:t>
      </w:r>
      <w:proofErr w:type="gramEnd"/>
      <w:r>
        <w:rPr>
          <w:rFonts w:ascii="仿宋_GB2312" w:hAnsi="仿宋_GB2312" w:cs="仿宋_GB2312" w:hint="eastAsia"/>
          <w:szCs w:val="28"/>
        </w:rPr>
        <w:t>会，对标准进行详细解读，</w:t>
      </w:r>
      <w:proofErr w:type="gramStart"/>
      <w:r>
        <w:rPr>
          <w:rFonts w:ascii="仿宋_GB2312" w:hAnsi="仿宋_GB2312" w:cs="仿宋_GB2312" w:hint="eastAsia"/>
          <w:szCs w:val="28"/>
        </w:rPr>
        <w:t>让相关</w:t>
      </w:r>
      <w:proofErr w:type="gramEnd"/>
      <w:r>
        <w:rPr>
          <w:rFonts w:ascii="仿宋_GB2312" w:hAnsi="仿宋_GB2312" w:cs="仿宋_GB2312" w:hint="eastAsia"/>
          <w:szCs w:val="28"/>
        </w:rPr>
        <w:t>人员了解标准，并根据标准对</w:t>
      </w:r>
      <w:r w:rsidR="00A36B38" w:rsidRPr="00A36B38">
        <w:rPr>
          <w:rFonts w:ascii="仿宋_GB2312" w:hAnsi="仿宋_GB2312" w:cs="仿宋_GB2312" w:hint="eastAsia"/>
          <w:szCs w:val="28"/>
        </w:rPr>
        <w:t>液相色谱-串联质谱法</w:t>
      </w:r>
      <w:r>
        <w:rPr>
          <w:rFonts w:ascii="仿宋_GB2312" w:hAnsi="仿宋_GB2312" w:cs="仿宋_GB2312" w:hint="eastAsia"/>
          <w:szCs w:val="28"/>
        </w:rPr>
        <w:t>测定</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Pr>
          <w:rFonts w:ascii="仿宋_GB2312" w:hAnsi="仿宋_GB2312" w:cs="仿宋_GB2312" w:hint="eastAsia"/>
          <w:szCs w:val="28"/>
        </w:rPr>
        <w:t>含量进行规范化操作，并对标准实施情况进行总结分析，不断对团体标准提出修正意见。</w:t>
      </w:r>
    </w:p>
    <w:p w:rsidR="009A0C7B" w:rsidRDefault="00992D31">
      <w:pPr>
        <w:ind w:firstLine="643"/>
        <w:rPr>
          <w:rFonts w:ascii="仿宋_GB2312" w:hAnsi="仿宋_GB2312" w:cs="仿宋_GB2312"/>
          <w:b/>
          <w:szCs w:val="28"/>
        </w:rPr>
      </w:pPr>
      <w:r>
        <w:rPr>
          <w:rFonts w:ascii="仿宋_GB2312" w:hAnsi="仿宋_GB2312" w:cs="仿宋_GB2312" w:hint="eastAsia"/>
          <w:b/>
          <w:szCs w:val="28"/>
        </w:rPr>
        <w:t>（二）收集整理文献资料</w:t>
      </w:r>
    </w:p>
    <w:p w:rsidR="009A0C7B" w:rsidRDefault="00992D31">
      <w:pPr>
        <w:ind w:firstLine="640"/>
        <w:rPr>
          <w:rFonts w:ascii="仿宋_GB2312" w:hAnsi="仿宋_GB2312" w:cs="仿宋_GB2312"/>
          <w:szCs w:val="28"/>
          <w:lang w:val="fr-FR"/>
        </w:rPr>
      </w:pPr>
      <w:r>
        <w:rPr>
          <w:rFonts w:ascii="仿宋_GB2312" w:hAnsi="仿宋_GB2312" w:cs="仿宋_GB2312" w:hint="eastAsia"/>
          <w:szCs w:val="28"/>
        </w:rPr>
        <w:t>标准编制工作组收集了国内有关“</w:t>
      </w:r>
      <w:r w:rsidR="00027D4D">
        <w:rPr>
          <w:rFonts w:ascii="仿宋_GB2312" w:hAnsi="仿宋_GB2312" w:cs="仿宋_GB2312" w:hint="eastAsia"/>
          <w:szCs w:val="28"/>
        </w:rPr>
        <w:t>大红柑</w:t>
      </w:r>
      <w:r>
        <w:rPr>
          <w:rFonts w:ascii="仿宋_GB2312" w:hAnsi="仿宋_GB2312" w:cs="仿宋_GB2312" w:hint="eastAsia"/>
          <w:szCs w:val="28"/>
        </w:rPr>
        <w:t>”相关文献资料。主要有</w:t>
      </w:r>
      <w:r>
        <w:rPr>
          <w:rFonts w:ascii="仿宋_GB2312" w:hAnsi="仿宋_GB2312" w:cs="仿宋_GB2312" w:hint="eastAsia"/>
          <w:szCs w:val="28"/>
          <w:lang w:val="fr-FR"/>
        </w:rPr>
        <w:t>：</w:t>
      </w:r>
    </w:p>
    <w:p w:rsidR="00266510" w:rsidRDefault="00266510">
      <w:pPr>
        <w:ind w:firstLine="640"/>
        <w:rPr>
          <w:rFonts w:ascii="仿宋_GB2312" w:hAnsi="仿宋_GB2312" w:cs="仿宋_GB2312"/>
          <w:szCs w:val="28"/>
        </w:rPr>
      </w:pPr>
      <w:r w:rsidRPr="00266510">
        <w:rPr>
          <w:rFonts w:ascii="仿宋_GB2312" w:hAnsi="仿宋_GB2312" w:cs="仿宋_GB2312" w:hint="eastAsia"/>
          <w:szCs w:val="28"/>
        </w:rPr>
        <w:t>《DB44/T 180-2004  大红柑生产技术规程》</w:t>
      </w:r>
    </w:p>
    <w:p w:rsidR="00266510" w:rsidRDefault="00266510">
      <w:pPr>
        <w:ind w:firstLine="640"/>
        <w:rPr>
          <w:rFonts w:ascii="仿宋_GB2312" w:hAnsi="仿宋_GB2312" w:cs="仿宋_GB2312"/>
          <w:szCs w:val="28"/>
        </w:rPr>
      </w:pPr>
      <w:r w:rsidRPr="00266510">
        <w:rPr>
          <w:rFonts w:ascii="仿宋_GB2312" w:hAnsi="仿宋_GB2312" w:cs="仿宋_GB2312" w:hint="eastAsia"/>
          <w:szCs w:val="28"/>
        </w:rPr>
        <w:t>《T/GXAS 1017.1—2025  浦北陈皮用大红柑  第1部分：无病健康采穗 圃营建技术规程》</w:t>
      </w:r>
    </w:p>
    <w:p w:rsidR="00266510" w:rsidRDefault="00266510">
      <w:pPr>
        <w:ind w:firstLine="640"/>
        <w:rPr>
          <w:rFonts w:ascii="仿宋_GB2312" w:hAnsi="仿宋_GB2312" w:cs="仿宋_GB2312"/>
          <w:szCs w:val="28"/>
        </w:rPr>
      </w:pPr>
      <w:r w:rsidRPr="00266510">
        <w:rPr>
          <w:rFonts w:ascii="仿宋_GB2312" w:hAnsi="仿宋_GB2312" w:cs="仿宋_GB2312" w:hint="eastAsia"/>
          <w:szCs w:val="28"/>
        </w:rPr>
        <w:t>《T/GXAS 1017.2—2025  浦北陈皮用大红柑  第2部分：无病健康苗木 繁育技术规程</w:t>
      </w:r>
      <w:r>
        <w:rPr>
          <w:rFonts w:ascii="仿宋_GB2312" w:hAnsi="仿宋_GB2312" w:cs="仿宋_GB2312" w:hint="eastAsia"/>
          <w:szCs w:val="28"/>
        </w:rPr>
        <w:t>》</w:t>
      </w:r>
    </w:p>
    <w:p w:rsidR="00266510" w:rsidRDefault="00266510">
      <w:pPr>
        <w:ind w:firstLine="640"/>
        <w:rPr>
          <w:rFonts w:ascii="仿宋_GB2312" w:hAnsi="仿宋_GB2312" w:cs="仿宋_GB2312"/>
          <w:szCs w:val="28"/>
        </w:rPr>
      </w:pPr>
      <w:r w:rsidRPr="00266510">
        <w:rPr>
          <w:rFonts w:ascii="仿宋_GB2312" w:hAnsi="仿宋_GB2312" w:cs="仿宋_GB2312" w:hint="eastAsia"/>
          <w:szCs w:val="28"/>
        </w:rPr>
        <w:t>《T/GXAS 1017.3—2025  浦北陈皮用大红柑  第3部分：生产全过程质量控制技术规范》</w:t>
      </w:r>
    </w:p>
    <w:p w:rsidR="009A0C7B" w:rsidRDefault="00266510">
      <w:pPr>
        <w:ind w:firstLine="640"/>
        <w:rPr>
          <w:rFonts w:ascii="仿宋_GB2312" w:hAnsi="仿宋_GB2312" w:cs="仿宋_GB2312"/>
          <w:szCs w:val="28"/>
        </w:rPr>
      </w:pPr>
      <w:r w:rsidRPr="00266510">
        <w:rPr>
          <w:rFonts w:ascii="仿宋_GB2312" w:hAnsi="仿宋_GB2312" w:cs="仿宋_GB2312" w:hint="eastAsia"/>
          <w:szCs w:val="28"/>
        </w:rPr>
        <w:t>《T/GXAS 1017.4—2025  浦北陈皮用大红柑  第4部分：</w:t>
      </w:r>
      <w:r w:rsidRPr="00266510">
        <w:rPr>
          <w:rFonts w:ascii="仿宋_GB2312" w:hAnsi="仿宋_GB2312" w:cs="仿宋_GB2312" w:hint="eastAsia"/>
          <w:szCs w:val="28"/>
        </w:rPr>
        <w:lastRenderedPageBreak/>
        <w:t>老树管护技术规范》</w:t>
      </w:r>
    </w:p>
    <w:p w:rsidR="009A0C7B" w:rsidRDefault="00992D31">
      <w:pPr>
        <w:ind w:firstLine="643"/>
        <w:rPr>
          <w:rFonts w:ascii="仿宋_GB2312" w:hAnsi="仿宋_GB2312" w:cs="仿宋_GB2312"/>
          <w:b/>
          <w:szCs w:val="28"/>
        </w:rPr>
      </w:pPr>
      <w:r>
        <w:rPr>
          <w:rFonts w:ascii="仿宋_GB2312" w:hAnsi="仿宋_GB2312" w:cs="仿宋_GB2312" w:hint="eastAsia"/>
          <w:b/>
          <w:szCs w:val="28"/>
        </w:rPr>
        <w:t>（三）研讨确定标准特色、创新点和主体内容</w:t>
      </w:r>
    </w:p>
    <w:p w:rsidR="009A0C7B" w:rsidRDefault="00992D31">
      <w:pPr>
        <w:ind w:firstLine="640"/>
        <w:rPr>
          <w:rFonts w:ascii="仿宋_GB2312" w:hAnsi="仿宋_GB2312" w:cs="仿宋_GB2312"/>
          <w:szCs w:val="28"/>
        </w:rPr>
      </w:pPr>
      <w:r>
        <w:rPr>
          <w:rFonts w:ascii="仿宋_GB2312" w:hAnsi="仿宋_GB2312" w:cs="仿宋_GB2312" w:hint="eastAsia"/>
          <w:szCs w:val="28"/>
        </w:rPr>
        <w:t>1、标准特色和创新点</w:t>
      </w:r>
    </w:p>
    <w:p w:rsidR="00266510" w:rsidRPr="00266510" w:rsidRDefault="00266510" w:rsidP="00266510">
      <w:pPr>
        <w:ind w:firstLine="640"/>
        <w:rPr>
          <w:rFonts w:ascii="仿宋_GB2312" w:hAnsi="仿宋_GB2312" w:cs="仿宋_GB2312"/>
          <w:szCs w:val="28"/>
        </w:rPr>
      </w:pPr>
      <w:r>
        <w:rPr>
          <w:rFonts w:ascii="仿宋_GB2312" w:hAnsi="仿宋_GB2312" w:cs="仿宋_GB2312" w:hint="eastAsia"/>
          <w:szCs w:val="28"/>
        </w:rPr>
        <w:t>（1）</w:t>
      </w:r>
      <w:r w:rsidRPr="00266510">
        <w:rPr>
          <w:rFonts w:ascii="仿宋_GB2312" w:hAnsi="仿宋_GB2312" w:cs="仿宋_GB2312" w:hint="eastAsia"/>
          <w:szCs w:val="28"/>
        </w:rPr>
        <w:t>规范推动建立从苗木到果品的全流程数字化溯源系统。通过赋予种苗“数字身份证”，并</w:t>
      </w:r>
      <w:proofErr w:type="gramStart"/>
      <w:r w:rsidRPr="00266510">
        <w:rPr>
          <w:rFonts w:ascii="仿宋_GB2312" w:hAnsi="仿宋_GB2312" w:cs="仿宋_GB2312" w:hint="eastAsia"/>
          <w:szCs w:val="28"/>
        </w:rPr>
        <w:t>集成物</w:t>
      </w:r>
      <w:proofErr w:type="gramEnd"/>
      <w:r w:rsidRPr="00266510">
        <w:rPr>
          <w:rFonts w:ascii="仿宋_GB2312" w:hAnsi="仿宋_GB2312" w:cs="仿宋_GB2312" w:hint="eastAsia"/>
          <w:szCs w:val="28"/>
        </w:rPr>
        <w:t>联网设备记录的环境、农事操作等数据，结合区块链技术确保信息不可篡改，为每一份大红</w:t>
      </w:r>
      <w:proofErr w:type="gramStart"/>
      <w:r w:rsidRPr="00266510">
        <w:rPr>
          <w:rFonts w:ascii="仿宋_GB2312" w:hAnsi="仿宋_GB2312" w:cs="仿宋_GB2312" w:hint="eastAsia"/>
          <w:szCs w:val="28"/>
        </w:rPr>
        <w:t>柑</w:t>
      </w:r>
      <w:proofErr w:type="gramEnd"/>
      <w:r w:rsidRPr="00266510">
        <w:rPr>
          <w:rFonts w:ascii="仿宋_GB2312" w:hAnsi="仿宋_GB2312" w:cs="仿宋_GB2312" w:hint="eastAsia"/>
          <w:szCs w:val="28"/>
        </w:rPr>
        <w:t>产品提供可信的品质与溯源背书，有效提升产品市场信任度和品牌价值。</w:t>
      </w:r>
    </w:p>
    <w:p w:rsidR="00266510" w:rsidRPr="00266510" w:rsidRDefault="00266510" w:rsidP="00266510">
      <w:pPr>
        <w:ind w:firstLine="640"/>
        <w:rPr>
          <w:rFonts w:ascii="仿宋_GB2312" w:hAnsi="仿宋_GB2312" w:cs="仿宋_GB2312"/>
          <w:szCs w:val="28"/>
        </w:rPr>
      </w:pPr>
      <w:r>
        <w:rPr>
          <w:rFonts w:ascii="仿宋_GB2312" w:hAnsi="仿宋_GB2312" w:cs="仿宋_GB2312" w:hint="eastAsia"/>
          <w:szCs w:val="28"/>
        </w:rPr>
        <w:t>（2）</w:t>
      </w:r>
      <w:r w:rsidRPr="00266510">
        <w:rPr>
          <w:rFonts w:ascii="仿宋_GB2312" w:hAnsi="仿宋_GB2312" w:cs="仿宋_GB2312" w:hint="eastAsia"/>
          <w:szCs w:val="28"/>
        </w:rPr>
        <w:t>通过精准监测，实现水肥一体化智能灌溉与施肥，有效节约资源。同时，依托物联网设备和图像识别技术，实现病虫害精准防控，减少农药使用，在降低生产成本的同时，保障了果品安全与品质，实现生态与经济效益的双赢。</w:t>
      </w:r>
    </w:p>
    <w:p w:rsidR="009A0C7B" w:rsidRDefault="00266510" w:rsidP="00266510">
      <w:pPr>
        <w:ind w:firstLine="640"/>
        <w:rPr>
          <w:rFonts w:ascii="仿宋_GB2312" w:hAnsi="仿宋_GB2312" w:cs="仿宋_GB2312"/>
          <w:szCs w:val="28"/>
        </w:rPr>
      </w:pPr>
      <w:r>
        <w:rPr>
          <w:rFonts w:ascii="仿宋_GB2312" w:hAnsi="仿宋_GB2312" w:cs="仿宋_GB2312" w:hint="eastAsia"/>
          <w:szCs w:val="28"/>
        </w:rPr>
        <w:t>（3）</w:t>
      </w:r>
      <w:r w:rsidRPr="00266510">
        <w:rPr>
          <w:rFonts w:ascii="仿宋_GB2312" w:hAnsi="仿宋_GB2312" w:cs="仿宋_GB2312" w:hint="eastAsia"/>
          <w:szCs w:val="28"/>
        </w:rPr>
        <w:t>系统能持续追踪果树长势、土壤墒情、病虫害动态等关键数据，并基于数据分析为水肥管理、病虫害防控等提供决策支持，实现从“经验种植”到数据驱动的精准种植与管理。</w:t>
      </w:r>
    </w:p>
    <w:p w:rsidR="009A0C7B" w:rsidRDefault="00992D31">
      <w:pPr>
        <w:ind w:firstLine="640"/>
        <w:rPr>
          <w:rFonts w:ascii="仿宋_GB2312" w:hAnsi="仿宋_GB2312" w:cs="仿宋_GB2312"/>
          <w:szCs w:val="28"/>
        </w:rPr>
      </w:pPr>
      <w:r>
        <w:rPr>
          <w:rFonts w:ascii="仿宋_GB2312" w:hAnsi="仿宋_GB2312" w:cs="仿宋_GB2312" w:hint="eastAsia"/>
          <w:szCs w:val="28"/>
        </w:rPr>
        <w:t>2、主体内容</w:t>
      </w:r>
    </w:p>
    <w:p w:rsidR="009A0C7B" w:rsidRDefault="00992D31">
      <w:pPr>
        <w:ind w:firstLine="640"/>
        <w:rPr>
          <w:rFonts w:ascii="仿宋_GB2312" w:hAnsi="仿宋_GB2312" w:cs="仿宋_GB2312"/>
          <w:szCs w:val="28"/>
        </w:rPr>
      </w:pPr>
      <w:r>
        <w:rPr>
          <w:rFonts w:ascii="仿宋_GB2312" w:hAnsi="仿宋_GB2312" w:cs="仿宋_GB2312" w:hint="eastAsia"/>
          <w:szCs w:val="28"/>
        </w:rPr>
        <w:t>标准编制工作组在对收集的资料进行整理研究之后，准编制工作组召开了标准编制会议，对标准的整体框架结构进行了研究，并对标准的关键性内容进行了初步探讨。</w:t>
      </w:r>
      <w:r w:rsidRPr="00135CBB">
        <w:rPr>
          <w:rFonts w:ascii="仿宋_GB2312" w:hAnsi="仿宋_GB2312" w:cs="仿宋_GB2312" w:hint="eastAsia"/>
          <w:szCs w:val="28"/>
        </w:rPr>
        <w:t>经过研究，标准的主体内容确定为</w:t>
      </w:r>
      <w:r w:rsidR="00135CBB" w:rsidRPr="00135CBB">
        <w:rPr>
          <w:rFonts w:ascii="仿宋_GB2312" w:hAnsi="仿宋_GB2312" w:cs="仿宋_GB2312" w:hint="eastAsia"/>
          <w:szCs w:val="28"/>
        </w:rPr>
        <w:t>建设要求、监测管理、智能决策管理、精准作业管理、质量追溯管理</w:t>
      </w:r>
      <w:r w:rsidRPr="00135CBB">
        <w:rPr>
          <w:rFonts w:ascii="仿宋_GB2312" w:hAnsi="仿宋_GB2312" w:cs="仿宋_GB2312" w:hint="eastAsia"/>
          <w:szCs w:val="28"/>
        </w:rPr>
        <w:t>。</w:t>
      </w:r>
    </w:p>
    <w:p w:rsidR="009A0C7B" w:rsidRDefault="00992D31">
      <w:pPr>
        <w:ind w:firstLine="643"/>
        <w:rPr>
          <w:rFonts w:ascii="仿宋_GB2312" w:hAnsi="仿宋_GB2312" w:cs="仿宋_GB2312"/>
          <w:b/>
          <w:szCs w:val="28"/>
        </w:rPr>
      </w:pPr>
      <w:r>
        <w:rPr>
          <w:rFonts w:ascii="仿宋_GB2312" w:hAnsi="仿宋_GB2312" w:cs="仿宋_GB2312" w:hint="eastAsia"/>
          <w:b/>
          <w:szCs w:val="28"/>
        </w:rPr>
        <w:t>（四）调研及形成草案、征求意见稿</w:t>
      </w:r>
    </w:p>
    <w:p w:rsidR="009A0C7B" w:rsidRDefault="00992D31">
      <w:pPr>
        <w:ind w:firstLine="640"/>
        <w:rPr>
          <w:rFonts w:ascii="仿宋_GB2312" w:hAnsi="仿宋_GB2312" w:cs="仿宋_GB2312"/>
          <w:szCs w:val="28"/>
        </w:rPr>
      </w:pPr>
      <w:r>
        <w:rPr>
          <w:rFonts w:ascii="仿宋_GB2312" w:hAnsi="仿宋_GB2312" w:cs="仿宋_GB2312" w:hint="eastAsia"/>
          <w:szCs w:val="28"/>
        </w:rPr>
        <w:lastRenderedPageBreak/>
        <w:t>2025年</w:t>
      </w:r>
      <w:r w:rsidR="009F09A7">
        <w:rPr>
          <w:rFonts w:ascii="仿宋_GB2312" w:hAnsi="仿宋_GB2312" w:cs="仿宋_GB2312" w:hint="eastAsia"/>
          <w:szCs w:val="28"/>
        </w:rPr>
        <w:t>9</w:t>
      </w:r>
      <w:r>
        <w:rPr>
          <w:rFonts w:ascii="仿宋_GB2312" w:hAnsi="仿宋_GB2312" w:cs="仿宋_GB2312" w:hint="eastAsia"/>
          <w:szCs w:val="28"/>
        </w:rPr>
        <w:t>月，标准起草工作小组</w:t>
      </w:r>
      <w:r w:rsidR="00DC4961">
        <w:rPr>
          <w:rFonts w:ascii="仿宋_GB2312" w:hAnsi="仿宋_GB2312" w:cs="仿宋_GB2312" w:hint="eastAsia"/>
          <w:szCs w:val="28"/>
        </w:rPr>
        <w:t>前往</w:t>
      </w:r>
      <w:r w:rsidR="00DC4961" w:rsidRPr="00027D4D">
        <w:rPr>
          <w:rFonts w:ascii="仿宋_GB2312" w:hAnsi="仿宋_GB2312" w:cs="仿宋_GB2312" w:hint="eastAsia"/>
          <w:szCs w:val="28"/>
        </w:rPr>
        <w:t>广西中皮健康有限公司、广西</w:t>
      </w:r>
      <w:proofErr w:type="gramStart"/>
      <w:r w:rsidR="00DC4961" w:rsidRPr="00027D4D">
        <w:rPr>
          <w:rFonts w:ascii="仿宋_GB2312" w:hAnsi="仿宋_GB2312" w:cs="仿宋_GB2312" w:hint="eastAsia"/>
          <w:szCs w:val="28"/>
        </w:rPr>
        <w:t>金浦龙陈皮</w:t>
      </w:r>
      <w:proofErr w:type="gramEnd"/>
      <w:r w:rsidR="00DC4961" w:rsidRPr="00027D4D">
        <w:rPr>
          <w:rFonts w:ascii="仿宋_GB2312" w:hAnsi="仿宋_GB2312" w:cs="仿宋_GB2312" w:hint="eastAsia"/>
          <w:szCs w:val="28"/>
        </w:rPr>
        <w:t>科技产业有限公司、广西供销三冠陈皮有限公司</w:t>
      </w:r>
      <w:r w:rsidR="00DC4961">
        <w:rPr>
          <w:rFonts w:ascii="仿宋_GB2312" w:hAnsi="仿宋_GB2312" w:cs="仿宋_GB2312" w:hint="eastAsia"/>
          <w:szCs w:val="28"/>
        </w:rPr>
        <w:t>等单位</w:t>
      </w:r>
      <w:r>
        <w:rPr>
          <w:rFonts w:ascii="仿宋_GB2312" w:hAnsi="仿宋_GB2312" w:cs="仿宋_GB2312" w:hint="eastAsia"/>
          <w:szCs w:val="28"/>
        </w:rPr>
        <w:t>进行了广泛调研工作，查阅了大量的国内外文献资料，对</w:t>
      </w:r>
      <w:r w:rsidR="009F09A7">
        <w:rPr>
          <w:rFonts w:ascii="仿宋_GB2312" w:hAnsi="仿宋_GB2312" w:cs="仿宋_GB2312" w:hint="eastAsia"/>
          <w:szCs w:val="28"/>
        </w:rPr>
        <w:t>大红</w:t>
      </w:r>
      <w:proofErr w:type="gramStart"/>
      <w:r w:rsidR="009F09A7">
        <w:rPr>
          <w:rFonts w:ascii="仿宋_GB2312" w:hAnsi="仿宋_GB2312" w:cs="仿宋_GB2312" w:hint="eastAsia"/>
          <w:szCs w:val="28"/>
        </w:rPr>
        <w:t>柑</w:t>
      </w:r>
      <w:proofErr w:type="gramEnd"/>
      <w:r w:rsidR="009F09A7">
        <w:rPr>
          <w:rFonts w:ascii="仿宋_GB2312" w:hAnsi="仿宋_GB2312" w:cs="仿宋_GB2312" w:hint="eastAsia"/>
          <w:szCs w:val="28"/>
        </w:rPr>
        <w:t>智慧种植园建设与管理</w:t>
      </w:r>
      <w:r>
        <w:rPr>
          <w:rFonts w:ascii="仿宋_GB2312" w:hAnsi="仿宋_GB2312" w:cs="仿宋_GB2312" w:hint="eastAsia"/>
          <w:szCs w:val="28"/>
        </w:rPr>
        <w:t>的前人研究成果进行系统总结。形成了标准的基本构架，对主要内容进行了讨论并对项目的工作进行了部署和安排。</w:t>
      </w:r>
    </w:p>
    <w:p w:rsidR="009A0C7B" w:rsidRDefault="00992D31">
      <w:pPr>
        <w:ind w:firstLine="640"/>
        <w:rPr>
          <w:rFonts w:ascii="仿宋_GB2312" w:hAnsi="仿宋_GB2312" w:cs="仿宋_GB2312"/>
          <w:szCs w:val="28"/>
        </w:rPr>
      </w:pPr>
      <w:r>
        <w:rPr>
          <w:rFonts w:ascii="仿宋_GB2312" w:hAnsi="仿宋_GB2312" w:cs="仿宋_GB2312" w:hint="eastAsia"/>
          <w:szCs w:val="28"/>
        </w:rPr>
        <w:t>2025年</w:t>
      </w:r>
      <w:r w:rsidR="009F09A7">
        <w:rPr>
          <w:rFonts w:ascii="仿宋_GB2312" w:hAnsi="仿宋_GB2312" w:cs="仿宋_GB2312" w:hint="eastAsia"/>
          <w:szCs w:val="28"/>
        </w:rPr>
        <w:t>10</w:t>
      </w:r>
      <w:r>
        <w:rPr>
          <w:rFonts w:ascii="仿宋_GB2312" w:hAnsi="仿宋_GB2312" w:cs="仿宋_GB2312" w:hint="eastAsia"/>
          <w:szCs w:val="28"/>
        </w:rPr>
        <w:t>月，在前期工作的基础之上，通过理清逻辑脉络，整合已有的参考资料中有关</w:t>
      </w:r>
      <w:r w:rsidR="009F09A7">
        <w:rPr>
          <w:rFonts w:ascii="仿宋_GB2312" w:hAnsi="仿宋_GB2312" w:cs="仿宋_GB2312" w:hint="eastAsia"/>
          <w:szCs w:val="28"/>
        </w:rPr>
        <w:t>大红</w:t>
      </w:r>
      <w:proofErr w:type="gramStart"/>
      <w:r w:rsidR="009F09A7">
        <w:rPr>
          <w:rFonts w:ascii="仿宋_GB2312" w:hAnsi="仿宋_GB2312" w:cs="仿宋_GB2312" w:hint="eastAsia"/>
          <w:szCs w:val="28"/>
        </w:rPr>
        <w:t>柑</w:t>
      </w:r>
      <w:proofErr w:type="gramEnd"/>
      <w:r w:rsidR="009F09A7">
        <w:rPr>
          <w:rFonts w:ascii="仿宋_GB2312" w:hAnsi="仿宋_GB2312" w:cs="仿宋_GB2312" w:hint="eastAsia"/>
          <w:szCs w:val="28"/>
        </w:rPr>
        <w:t>智慧种植园建设与管理</w:t>
      </w:r>
      <w:r>
        <w:rPr>
          <w:rFonts w:ascii="仿宋_GB2312" w:hAnsi="仿宋_GB2312" w:cs="仿宋_GB2312" w:hint="eastAsia"/>
          <w:szCs w:val="28"/>
        </w:rPr>
        <w:t>要求，并结合</w:t>
      </w:r>
      <w:r w:rsidR="009F09A7">
        <w:rPr>
          <w:rFonts w:ascii="仿宋_GB2312" w:hAnsi="仿宋_GB2312" w:cs="仿宋_GB2312" w:hint="eastAsia"/>
          <w:szCs w:val="28"/>
        </w:rPr>
        <w:t>大红</w:t>
      </w:r>
      <w:proofErr w:type="gramStart"/>
      <w:r w:rsidR="009F09A7">
        <w:rPr>
          <w:rFonts w:ascii="仿宋_GB2312" w:hAnsi="仿宋_GB2312" w:cs="仿宋_GB2312" w:hint="eastAsia"/>
          <w:szCs w:val="28"/>
        </w:rPr>
        <w:t>柑</w:t>
      </w:r>
      <w:proofErr w:type="gramEnd"/>
      <w:r w:rsidR="009F09A7">
        <w:rPr>
          <w:rFonts w:ascii="仿宋_GB2312" w:hAnsi="仿宋_GB2312" w:cs="仿宋_GB2312" w:hint="eastAsia"/>
          <w:szCs w:val="28"/>
        </w:rPr>
        <w:t>智慧种植园建设与管理</w:t>
      </w:r>
      <w:r>
        <w:rPr>
          <w:rFonts w:ascii="仿宋_GB2312" w:hAnsi="仿宋_GB2312" w:cs="仿宋_GB2312" w:hint="eastAsia"/>
          <w:szCs w:val="28"/>
        </w:rPr>
        <w:t>实际要求的基础上，按照简化、统一等原则编制完成团体标准《</w:t>
      </w:r>
      <w:r w:rsidR="00027D4D">
        <w:rPr>
          <w:rFonts w:ascii="仿宋_GB2312" w:hAnsi="仿宋_GB2312" w:cs="仿宋_GB2312" w:hint="eastAsia"/>
          <w:szCs w:val="28"/>
        </w:rPr>
        <w:t>大红柑智慧种植园建设与管理规范</w:t>
      </w:r>
      <w:r>
        <w:rPr>
          <w:rFonts w:ascii="仿宋_GB2312" w:hAnsi="仿宋_GB2312" w:cs="仿宋_GB2312" w:hint="eastAsia"/>
          <w:szCs w:val="28"/>
        </w:rPr>
        <w:t>》（草案）。</w:t>
      </w:r>
    </w:p>
    <w:p w:rsidR="009A0C7B" w:rsidRDefault="00992D31">
      <w:pPr>
        <w:ind w:firstLine="640"/>
        <w:rPr>
          <w:rFonts w:ascii="仿宋_GB2312" w:hAnsi="仿宋_GB2312" w:cs="仿宋_GB2312"/>
          <w:szCs w:val="28"/>
        </w:rPr>
      </w:pPr>
      <w:r>
        <w:rPr>
          <w:rFonts w:ascii="仿宋_GB2312" w:hAnsi="仿宋_GB2312" w:cs="仿宋_GB2312" w:hint="eastAsia"/>
          <w:szCs w:val="28"/>
        </w:rPr>
        <w:t>2025年</w:t>
      </w:r>
      <w:r w:rsidR="009F09A7">
        <w:rPr>
          <w:rFonts w:ascii="仿宋_GB2312" w:hAnsi="仿宋_GB2312" w:cs="仿宋_GB2312" w:hint="eastAsia"/>
          <w:szCs w:val="28"/>
        </w:rPr>
        <w:t>11</w:t>
      </w:r>
      <w:r>
        <w:rPr>
          <w:rFonts w:ascii="仿宋_GB2312" w:hAnsi="仿宋_GB2312" w:cs="仿宋_GB2312" w:hint="eastAsia"/>
          <w:szCs w:val="28"/>
        </w:rPr>
        <w:t>月，标准起草工作组到</w:t>
      </w:r>
      <w:r w:rsidR="00DC4961" w:rsidRPr="00027D4D">
        <w:rPr>
          <w:rFonts w:ascii="仿宋_GB2312" w:hAnsi="仿宋_GB2312" w:cs="仿宋_GB2312" w:hint="eastAsia"/>
          <w:szCs w:val="28"/>
        </w:rPr>
        <w:t>广西中皮健康有限公司、广西</w:t>
      </w:r>
      <w:proofErr w:type="gramStart"/>
      <w:r w:rsidR="00DC4961" w:rsidRPr="00027D4D">
        <w:rPr>
          <w:rFonts w:ascii="仿宋_GB2312" w:hAnsi="仿宋_GB2312" w:cs="仿宋_GB2312" w:hint="eastAsia"/>
          <w:szCs w:val="28"/>
        </w:rPr>
        <w:t>金浦龙陈皮</w:t>
      </w:r>
      <w:proofErr w:type="gramEnd"/>
      <w:r w:rsidR="00DC4961" w:rsidRPr="00027D4D">
        <w:rPr>
          <w:rFonts w:ascii="仿宋_GB2312" w:hAnsi="仿宋_GB2312" w:cs="仿宋_GB2312" w:hint="eastAsia"/>
          <w:szCs w:val="28"/>
        </w:rPr>
        <w:t>科技产业有限公司、广西供销三冠陈皮有限公司</w:t>
      </w:r>
      <w:r w:rsidR="00DC4961">
        <w:rPr>
          <w:rFonts w:ascii="仿宋_GB2312" w:hAnsi="仿宋_GB2312" w:cs="仿宋_GB2312" w:hint="eastAsia"/>
          <w:szCs w:val="28"/>
        </w:rPr>
        <w:t>等</w:t>
      </w:r>
      <w:r>
        <w:rPr>
          <w:rFonts w:ascii="仿宋_GB2312" w:hAnsi="仿宋_GB2312" w:cs="仿宋_GB2312" w:hint="eastAsia"/>
          <w:szCs w:val="28"/>
        </w:rPr>
        <w:t>相关单位进行调研</w:t>
      </w:r>
      <w:r w:rsidR="00DC4961">
        <w:rPr>
          <w:rFonts w:ascii="仿宋_GB2312" w:hAnsi="仿宋_GB2312" w:cs="仿宋_GB2312" w:hint="eastAsia"/>
          <w:szCs w:val="28"/>
        </w:rPr>
        <w:t>，</w:t>
      </w:r>
      <w:r>
        <w:rPr>
          <w:rFonts w:ascii="仿宋_GB2312" w:hAnsi="仿宋_GB2312" w:cs="仿宋_GB2312" w:hint="eastAsia"/>
          <w:szCs w:val="28"/>
        </w:rPr>
        <w:t>并实际征求意见，通过收集反馈了大量意见，标准编制工作组多次召开会议，对标准草案进行了反复修改和研究讨论。进一步讨论完善标准草案，形成团体标准《</w:t>
      </w:r>
      <w:r w:rsidR="00027D4D">
        <w:rPr>
          <w:rFonts w:ascii="仿宋_GB2312" w:hAnsi="仿宋_GB2312" w:cs="仿宋_GB2312" w:hint="eastAsia"/>
          <w:szCs w:val="28"/>
        </w:rPr>
        <w:t>大红柑智慧种植园建设与管理规范</w:t>
      </w:r>
      <w:r>
        <w:rPr>
          <w:rFonts w:ascii="仿宋_GB2312" w:hAnsi="仿宋_GB2312" w:cs="仿宋_GB2312" w:hint="eastAsia"/>
          <w:szCs w:val="28"/>
        </w:rPr>
        <w:t>》（征求意见稿）和（征求意见稿）编制说明。</w:t>
      </w:r>
    </w:p>
    <w:p w:rsidR="00DC4961" w:rsidRDefault="00DC4961" w:rsidP="00DC4961">
      <w:pPr>
        <w:ind w:firstLineChars="0" w:firstLine="0"/>
        <w:rPr>
          <w:rFonts w:ascii="仿宋_GB2312" w:hAnsi="仿宋_GB2312" w:cs="仿宋_GB2312"/>
          <w:szCs w:val="28"/>
        </w:rPr>
      </w:pPr>
      <w:r>
        <w:rPr>
          <w:rFonts w:ascii="仿宋_GB2312" w:hAnsi="仿宋_GB2312" w:cs="仿宋_GB2312"/>
          <w:noProof/>
          <w:szCs w:val="28"/>
        </w:rPr>
        <w:lastRenderedPageBreak/>
        <w:drawing>
          <wp:inline distT="0" distB="0" distL="0" distR="0">
            <wp:extent cx="2824680" cy="2118538"/>
            <wp:effectExtent l="0" t="0" r="0" b="0"/>
            <wp:docPr id="4" name="图片 4" descr="F:\标准部\待完成\2待挂网\团标-大红柑智慧种植园建设与管理规范\2.草案\调研\5abd82a6e9ca2510a38d35229bdf72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标准部\待完成\2待挂网\团标-大红柑智慧种植园建设与管理规范\2.草案\调研\5abd82a6e9ca2510a38d35229bdf724f.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29527" cy="2122174"/>
                    </a:xfrm>
                    <a:prstGeom prst="rect">
                      <a:avLst/>
                    </a:prstGeom>
                    <a:noFill/>
                    <a:ln>
                      <a:noFill/>
                    </a:ln>
                  </pic:spPr>
                </pic:pic>
              </a:graphicData>
            </a:graphic>
          </wp:inline>
        </w:drawing>
      </w:r>
      <w:r>
        <w:rPr>
          <w:rFonts w:ascii="仿宋_GB2312" w:hAnsi="仿宋_GB2312" w:cs="仿宋_GB2312"/>
          <w:noProof/>
          <w:szCs w:val="28"/>
        </w:rPr>
        <w:drawing>
          <wp:inline distT="0" distB="0" distL="0" distR="0">
            <wp:extent cx="2849488" cy="2137145"/>
            <wp:effectExtent l="0" t="0" r="8255" b="0"/>
            <wp:docPr id="5" name="图片 5" descr="F:\标准部\待完成\2待挂网\团标-大红柑智慧种植园建设与管理规范\2.草案\调研\20a9def4f0b332ee0bdf5c3984841c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标准部\待完成\2待挂网\团标-大红柑智慧种植园建设与管理规范\2.草案\调研\20a9def4f0b332ee0bdf5c3984841c6f.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7775" cy="2143360"/>
                    </a:xfrm>
                    <a:prstGeom prst="rect">
                      <a:avLst/>
                    </a:prstGeom>
                    <a:noFill/>
                    <a:ln>
                      <a:noFill/>
                    </a:ln>
                  </pic:spPr>
                </pic:pic>
              </a:graphicData>
            </a:graphic>
          </wp:inline>
        </w:drawing>
      </w:r>
    </w:p>
    <w:p w:rsidR="00DC4961" w:rsidRDefault="00DC4961" w:rsidP="00DC4961">
      <w:pPr>
        <w:ind w:firstLineChars="0" w:firstLine="0"/>
        <w:jc w:val="center"/>
        <w:rPr>
          <w:rFonts w:ascii="仿宋_GB2312" w:hAnsi="仿宋_GB2312" w:cs="仿宋_GB2312"/>
          <w:szCs w:val="28"/>
        </w:rPr>
      </w:pPr>
      <w:r>
        <w:rPr>
          <w:rFonts w:ascii="仿宋_GB2312" w:hAnsi="仿宋_GB2312" w:cs="仿宋_GB2312" w:hint="eastAsia"/>
          <w:szCs w:val="28"/>
        </w:rPr>
        <w:t>编制组调研相关图片</w:t>
      </w:r>
    </w:p>
    <w:p w:rsidR="009A0C7B" w:rsidRPr="004B2637" w:rsidRDefault="00992D31" w:rsidP="003008EA">
      <w:pPr>
        <w:autoSpaceDE w:val="0"/>
        <w:autoSpaceDN w:val="0"/>
        <w:adjustRightInd w:val="0"/>
        <w:ind w:firstLine="640"/>
        <w:jc w:val="left"/>
        <w:rPr>
          <w:rFonts w:ascii="黑体" w:eastAsia="黑体" w:hAnsi="黑体" w:cs="仿宋_GB2312"/>
          <w:bCs/>
          <w:szCs w:val="32"/>
        </w:rPr>
      </w:pPr>
      <w:bookmarkStart w:id="0" w:name="_Toc526940083"/>
      <w:r w:rsidRPr="004B2637">
        <w:rPr>
          <w:rFonts w:ascii="黑体" w:eastAsia="黑体" w:hAnsi="黑体" w:cs="仿宋_GB2312" w:hint="eastAsia"/>
          <w:bCs/>
          <w:szCs w:val="32"/>
        </w:rPr>
        <w:t>四、</w:t>
      </w:r>
      <w:bookmarkEnd w:id="0"/>
      <w:r w:rsidRPr="004B2637">
        <w:rPr>
          <w:rFonts w:ascii="黑体" w:eastAsia="黑体" w:hAnsi="黑体" w:cs="仿宋_GB2312" w:hint="eastAsia"/>
          <w:bCs/>
          <w:szCs w:val="32"/>
        </w:rPr>
        <w:t>制定标准的原则和依据，与现行法律、法规的关系，与有关国家标准、行业标准的协调情况</w:t>
      </w:r>
    </w:p>
    <w:p w:rsidR="009A0C7B" w:rsidRDefault="00992D31">
      <w:pPr>
        <w:pStyle w:val="afa"/>
        <w:ind w:firstLineChars="0" w:firstLine="0"/>
        <w:outlineLvl w:val="1"/>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（一）编制原则</w:t>
      </w:r>
    </w:p>
    <w:p w:rsidR="009A0C7B" w:rsidRDefault="00992D31">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ascii="仿宋_GB2312" w:hAnsi="仿宋_GB2312" w:cs="仿宋_GB2312" w:hint="eastAsia"/>
          <w:b/>
          <w:bCs/>
          <w:kern w:val="0"/>
          <w:szCs w:val="32"/>
        </w:rPr>
        <w:t>1、实用性原则</w:t>
      </w:r>
    </w:p>
    <w:p w:rsidR="009A0C7B" w:rsidRDefault="00992D31">
      <w:pPr>
        <w:ind w:firstLine="640"/>
        <w:rPr>
          <w:rFonts w:ascii="仿宋_GB2312" w:hAnsi="仿宋_GB2312" w:cs="仿宋_GB2312"/>
          <w:szCs w:val="28"/>
        </w:rPr>
      </w:pPr>
      <w:r>
        <w:rPr>
          <w:rFonts w:ascii="仿宋_GB2312" w:hAnsi="仿宋_GB2312" w:cs="仿宋_GB2312" w:hint="eastAsia"/>
          <w:szCs w:val="28"/>
        </w:rPr>
        <w:t>本文件是在充分收集相关资料和文献，分析</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sidR="00A36B38">
        <w:rPr>
          <w:rFonts w:ascii="仿宋_GB2312" w:hAnsi="仿宋_GB2312" w:cs="仿宋_GB2312" w:hint="eastAsia"/>
          <w:szCs w:val="28"/>
        </w:rPr>
        <w:t>的测定</w:t>
      </w:r>
      <w:r>
        <w:rPr>
          <w:rFonts w:ascii="仿宋_GB2312" w:hAnsi="仿宋_GB2312" w:cs="仿宋_GB2312" w:hint="eastAsia"/>
          <w:szCs w:val="28"/>
        </w:rPr>
        <w:t>当前现状，在现有相关</w:t>
      </w:r>
      <w:r w:rsidR="009F09A7">
        <w:rPr>
          <w:rFonts w:ascii="仿宋_GB2312" w:hAnsi="仿宋_GB2312" w:cs="仿宋_GB2312" w:hint="eastAsia"/>
          <w:szCs w:val="28"/>
        </w:rPr>
        <w:t>大红</w:t>
      </w:r>
      <w:proofErr w:type="gramStart"/>
      <w:r w:rsidR="009F09A7">
        <w:rPr>
          <w:rFonts w:ascii="仿宋_GB2312" w:hAnsi="仿宋_GB2312" w:cs="仿宋_GB2312" w:hint="eastAsia"/>
          <w:szCs w:val="28"/>
        </w:rPr>
        <w:t>柑</w:t>
      </w:r>
      <w:proofErr w:type="gramEnd"/>
      <w:r w:rsidR="009F09A7">
        <w:rPr>
          <w:rFonts w:ascii="仿宋_GB2312" w:hAnsi="仿宋_GB2312" w:cs="仿宋_GB2312" w:hint="eastAsia"/>
          <w:szCs w:val="28"/>
        </w:rPr>
        <w:t>智慧种植园建设与管理</w:t>
      </w:r>
      <w:r>
        <w:rPr>
          <w:rFonts w:ascii="仿宋_GB2312" w:hAnsi="仿宋_GB2312" w:cs="仿宋_GB2312" w:hint="eastAsia"/>
          <w:szCs w:val="28"/>
        </w:rPr>
        <w:t>要求的基础上，结合编制单位多年相关经验而总结起草的，符合当前</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sidR="00A36B38">
        <w:rPr>
          <w:rFonts w:ascii="仿宋_GB2312" w:hAnsi="仿宋_GB2312" w:cs="仿宋_GB2312" w:hint="eastAsia"/>
          <w:szCs w:val="28"/>
        </w:rPr>
        <w:t>的测定</w:t>
      </w:r>
      <w:r>
        <w:rPr>
          <w:rFonts w:ascii="仿宋_GB2312" w:hAnsi="仿宋_GB2312" w:cs="仿宋_GB2312" w:hint="eastAsia"/>
          <w:szCs w:val="28"/>
        </w:rPr>
        <w:t>发展的方向，具有较强的实用性和可操作性。</w:t>
      </w:r>
    </w:p>
    <w:p w:rsidR="009A0C7B" w:rsidRDefault="00992D31">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ascii="仿宋_GB2312" w:hAnsi="仿宋_GB2312" w:cs="仿宋_GB2312" w:hint="eastAsia"/>
          <w:b/>
          <w:bCs/>
          <w:kern w:val="0"/>
          <w:szCs w:val="32"/>
        </w:rPr>
        <w:t>2、协调性原则</w:t>
      </w:r>
    </w:p>
    <w:p w:rsidR="009A0C7B" w:rsidRDefault="00992D31">
      <w:pPr>
        <w:ind w:firstLine="640"/>
        <w:rPr>
          <w:rFonts w:ascii="仿宋_GB2312" w:hAnsi="仿宋_GB2312" w:cs="仿宋_GB2312"/>
          <w:szCs w:val="28"/>
        </w:rPr>
      </w:pPr>
      <w:r>
        <w:rPr>
          <w:rFonts w:ascii="仿宋_GB2312" w:hAnsi="仿宋_GB2312" w:cs="仿宋_GB2312" w:hint="eastAsia"/>
          <w:szCs w:val="28"/>
        </w:rPr>
        <w:t>本文件编写过程中注意了与</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sidR="00A36B38">
        <w:rPr>
          <w:rFonts w:ascii="仿宋_GB2312" w:hAnsi="仿宋_GB2312" w:cs="仿宋_GB2312" w:hint="eastAsia"/>
          <w:szCs w:val="28"/>
        </w:rPr>
        <w:t>的测定</w:t>
      </w:r>
      <w:r>
        <w:rPr>
          <w:rFonts w:ascii="仿宋_GB2312" w:hAnsi="仿宋_GB2312" w:cs="仿宋_GB2312" w:hint="eastAsia"/>
          <w:szCs w:val="28"/>
        </w:rPr>
        <w:t>相关法律法规的协调问题，在内容上与现行法律法规、标准协调一致。</w:t>
      </w:r>
    </w:p>
    <w:p w:rsidR="009A0C7B" w:rsidRDefault="00992D31">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ascii="仿宋_GB2312" w:hAnsi="仿宋_GB2312" w:cs="仿宋_GB2312" w:hint="eastAsia"/>
          <w:b/>
          <w:bCs/>
          <w:kern w:val="0"/>
          <w:szCs w:val="32"/>
        </w:rPr>
        <w:t>3、规范性原则</w:t>
      </w:r>
    </w:p>
    <w:p w:rsidR="009A0C7B" w:rsidRDefault="00992D31">
      <w:pPr>
        <w:ind w:firstLine="640"/>
        <w:rPr>
          <w:rFonts w:ascii="仿宋_GB2312" w:hAnsi="仿宋_GB2312" w:cs="仿宋_GB2312"/>
          <w:szCs w:val="28"/>
        </w:rPr>
      </w:pPr>
      <w:r>
        <w:rPr>
          <w:rFonts w:ascii="仿宋_GB2312" w:hAnsi="仿宋_GB2312" w:cs="仿宋_GB2312" w:hint="eastAsia"/>
          <w:szCs w:val="28"/>
        </w:rPr>
        <w:t>本文件严格参照GB/T 1.1—2020《标准化工作导则  第1部</w:t>
      </w:r>
      <w:r>
        <w:rPr>
          <w:rFonts w:ascii="仿宋_GB2312" w:hAnsi="仿宋_GB2312" w:cs="仿宋_GB2312" w:hint="eastAsia"/>
          <w:szCs w:val="28"/>
        </w:rPr>
        <w:lastRenderedPageBreak/>
        <w:t>分：标准化文件的结构和起草规则》编写本标准的内容，保证标准的编写质量。</w:t>
      </w:r>
    </w:p>
    <w:p w:rsidR="009A0C7B" w:rsidRDefault="00992D31">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ascii="仿宋_GB2312" w:hAnsi="仿宋_GB2312" w:cs="仿宋_GB2312" w:hint="eastAsia"/>
          <w:b/>
          <w:bCs/>
          <w:kern w:val="0"/>
          <w:szCs w:val="32"/>
        </w:rPr>
        <w:t>4、前瞻性原则</w:t>
      </w:r>
    </w:p>
    <w:p w:rsidR="009A0C7B" w:rsidRDefault="00992D31">
      <w:pPr>
        <w:ind w:firstLine="640"/>
        <w:rPr>
          <w:rFonts w:ascii="仿宋_GB2312" w:hAnsi="仿宋_GB2312" w:cs="仿宋_GB2312"/>
          <w:szCs w:val="28"/>
        </w:rPr>
      </w:pPr>
      <w:r>
        <w:rPr>
          <w:rFonts w:ascii="仿宋_GB2312" w:hAnsi="仿宋_GB2312" w:cs="仿宋_GB2312" w:hint="eastAsia"/>
          <w:szCs w:val="28"/>
        </w:rPr>
        <w:t>本文件在兼顾当前区内</w:t>
      </w:r>
      <w:r w:rsidR="00266510">
        <w:rPr>
          <w:rFonts w:ascii="仿宋_GB2312" w:hAnsi="仿宋_GB2312" w:cs="仿宋_GB2312" w:hint="eastAsia"/>
          <w:szCs w:val="28"/>
        </w:rPr>
        <w:t>大红</w:t>
      </w:r>
      <w:proofErr w:type="gramStart"/>
      <w:r w:rsidR="00266510">
        <w:rPr>
          <w:rFonts w:ascii="仿宋_GB2312" w:hAnsi="仿宋_GB2312" w:cs="仿宋_GB2312" w:hint="eastAsia"/>
          <w:szCs w:val="28"/>
        </w:rPr>
        <w:t>柑</w:t>
      </w:r>
      <w:proofErr w:type="gramEnd"/>
      <w:r w:rsidR="00266510">
        <w:rPr>
          <w:rFonts w:ascii="仿宋_GB2312" w:hAnsi="仿宋_GB2312" w:cs="仿宋_GB2312" w:hint="eastAsia"/>
          <w:szCs w:val="28"/>
        </w:rPr>
        <w:t>智慧种植园建设与管理</w:t>
      </w:r>
      <w:r w:rsidR="00A36B38">
        <w:rPr>
          <w:rFonts w:ascii="仿宋_GB2312" w:hAnsi="仿宋_GB2312" w:cs="仿宋_GB2312" w:hint="eastAsia"/>
          <w:szCs w:val="28"/>
        </w:rPr>
        <w:t>的测定</w:t>
      </w:r>
      <w:r>
        <w:rPr>
          <w:rFonts w:ascii="仿宋_GB2312" w:hAnsi="仿宋_GB2312" w:cs="仿宋_GB2312" w:hint="eastAsia"/>
          <w:szCs w:val="28"/>
        </w:rPr>
        <w:t>现实情况的同时，还考虑到了</w:t>
      </w:r>
      <w:r w:rsidR="009F09A7">
        <w:rPr>
          <w:rFonts w:ascii="仿宋_GB2312" w:hAnsi="仿宋_GB2312" w:cs="仿宋_GB2312" w:hint="eastAsia"/>
          <w:szCs w:val="28"/>
        </w:rPr>
        <w:t>大红</w:t>
      </w:r>
      <w:proofErr w:type="gramStart"/>
      <w:r w:rsidR="009F09A7">
        <w:rPr>
          <w:rFonts w:ascii="仿宋_GB2312" w:hAnsi="仿宋_GB2312" w:cs="仿宋_GB2312" w:hint="eastAsia"/>
          <w:szCs w:val="28"/>
        </w:rPr>
        <w:t>柑</w:t>
      </w:r>
      <w:proofErr w:type="gramEnd"/>
      <w:r w:rsidR="009F09A7">
        <w:rPr>
          <w:rFonts w:ascii="仿宋_GB2312" w:hAnsi="仿宋_GB2312" w:cs="仿宋_GB2312" w:hint="eastAsia"/>
          <w:szCs w:val="28"/>
        </w:rPr>
        <w:t>智慧种植园建设与管理</w:t>
      </w:r>
      <w:r>
        <w:rPr>
          <w:rFonts w:ascii="仿宋_GB2312" w:hAnsi="仿宋_GB2312" w:cs="仿宋_GB2312" w:hint="eastAsia"/>
          <w:szCs w:val="28"/>
        </w:rPr>
        <w:t>快速发展的趋势和需要，在标准中体现了个别特色性、前瞻性和先进性条款，作为对</w:t>
      </w:r>
      <w:r w:rsidR="009F09A7">
        <w:rPr>
          <w:rFonts w:ascii="仿宋_GB2312" w:hAnsi="仿宋_GB2312" w:cs="仿宋_GB2312" w:hint="eastAsia"/>
          <w:szCs w:val="28"/>
        </w:rPr>
        <w:t>大红</w:t>
      </w:r>
      <w:proofErr w:type="gramStart"/>
      <w:r w:rsidR="009F09A7">
        <w:rPr>
          <w:rFonts w:ascii="仿宋_GB2312" w:hAnsi="仿宋_GB2312" w:cs="仿宋_GB2312" w:hint="eastAsia"/>
          <w:szCs w:val="28"/>
        </w:rPr>
        <w:t>柑</w:t>
      </w:r>
      <w:proofErr w:type="gramEnd"/>
      <w:r w:rsidR="009F09A7">
        <w:rPr>
          <w:rFonts w:ascii="仿宋_GB2312" w:hAnsi="仿宋_GB2312" w:cs="仿宋_GB2312" w:hint="eastAsia"/>
          <w:szCs w:val="28"/>
        </w:rPr>
        <w:t>智慧种植园建设与管理</w:t>
      </w:r>
      <w:r>
        <w:rPr>
          <w:rFonts w:ascii="仿宋_GB2312" w:hAnsi="仿宋_GB2312" w:cs="仿宋_GB2312" w:hint="eastAsia"/>
          <w:szCs w:val="28"/>
        </w:rPr>
        <w:t>工作发展的指导。</w:t>
      </w:r>
    </w:p>
    <w:p w:rsidR="009A0C7B" w:rsidRDefault="00992D31" w:rsidP="003008EA">
      <w:pPr>
        <w:widowControl/>
        <w:tabs>
          <w:tab w:val="center" w:pos="4201"/>
          <w:tab w:val="right" w:leader="dot" w:pos="9298"/>
        </w:tabs>
        <w:autoSpaceDE w:val="0"/>
        <w:autoSpaceDN w:val="0"/>
        <w:ind w:firstLine="643"/>
        <w:outlineLvl w:val="1"/>
        <w:rPr>
          <w:rFonts w:ascii="仿宋_GB2312" w:hAnsi="仿宋_GB2312" w:cs="仿宋_GB2312"/>
          <w:b/>
          <w:bCs/>
          <w:kern w:val="0"/>
          <w:szCs w:val="32"/>
        </w:rPr>
      </w:pPr>
      <w:r>
        <w:rPr>
          <w:rFonts w:ascii="仿宋_GB2312" w:hAnsi="仿宋_GB2312" w:cs="仿宋_GB2312" w:hint="eastAsia"/>
          <w:b/>
          <w:bCs/>
          <w:kern w:val="0"/>
          <w:szCs w:val="32"/>
        </w:rPr>
        <w:t>（二）编制依据</w:t>
      </w:r>
    </w:p>
    <w:p w:rsidR="009A0C7B" w:rsidRDefault="00992D31">
      <w:pPr>
        <w:ind w:firstLine="640"/>
        <w:rPr>
          <w:rFonts w:ascii="仿宋_GB2312" w:hAnsi="仿宋_GB2312" w:cs="仿宋_GB2312"/>
          <w:szCs w:val="32"/>
        </w:rPr>
      </w:pPr>
      <w:r>
        <w:rPr>
          <w:rFonts w:ascii="仿宋_GB2312" w:hAnsi="仿宋_GB2312" w:cs="仿宋_GB2312" w:hint="eastAsia"/>
          <w:szCs w:val="32"/>
        </w:rPr>
        <w:t>本标准严格按照GB/T 1.1—2020《标准化工作导则  第1部分：标准化文件的结构和起草规则》的规则起草，标准主要内容参考相关标准文件并结合起草单位多年的相关经验和实践验证情况总结进行起草。</w:t>
      </w:r>
    </w:p>
    <w:p w:rsidR="009A0C7B" w:rsidRDefault="00992D31" w:rsidP="003008EA">
      <w:pPr>
        <w:widowControl/>
        <w:tabs>
          <w:tab w:val="center" w:pos="4201"/>
          <w:tab w:val="right" w:leader="dot" w:pos="9298"/>
        </w:tabs>
        <w:autoSpaceDE w:val="0"/>
        <w:autoSpaceDN w:val="0"/>
        <w:ind w:firstLine="643"/>
        <w:outlineLvl w:val="1"/>
        <w:rPr>
          <w:rFonts w:ascii="仿宋_GB2312" w:hAnsi="仿宋_GB2312" w:cs="仿宋_GB2312"/>
          <w:b/>
          <w:bCs/>
          <w:kern w:val="0"/>
          <w:szCs w:val="32"/>
        </w:rPr>
      </w:pPr>
      <w:r>
        <w:rPr>
          <w:rFonts w:ascii="仿宋_GB2312" w:hAnsi="仿宋_GB2312" w:cs="仿宋_GB2312" w:hint="eastAsia"/>
          <w:b/>
          <w:bCs/>
          <w:kern w:val="0"/>
          <w:szCs w:val="32"/>
        </w:rPr>
        <w:t>（三）与现行法律、法规的关系，与有关国家标准、行业标准的协调情况</w:t>
      </w:r>
    </w:p>
    <w:p w:rsidR="009A0C7B" w:rsidRDefault="00992D31">
      <w:pPr>
        <w:ind w:firstLine="640"/>
        <w:rPr>
          <w:rFonts w:ascii="仿宋_GB2312" w:hAnsi="仿宋_GB2312" w:cs="仿宋_GB2312"/>
          <w:szCs w:val="32"/>
        </w:rPr>
      </w:pPr>
      <w:r>
        <w:rPr>
          <w:rFonts w:ascii="仿宋_GB2312" w:hAnsi="仿宋_GB2312" w:cs="仿宋_GB2312" w:hint="eastAsia"/>
          <w:szCs w:val="32"/>
        </w:rPr>
        <w:t>本编制工作组承诺本标准内容与各项指标不违反相关法律法规要求，且不低于国家强制性标准、推荐性国家标准和行业标准要求。</w:t>
      </w:r>
    </w:p>
    <w:p w:rsidR="009A0C7B" w:rsidRDefault="009F09A7">
      <w:pPr>
        <w:ind w:firstLineChars="0" w:firstLine="0"/>
        <w:rPr>
          <w:rFonts w:ascii="仿宋_GB2312" w:hAnsi="仿宋_GB2312" w:cs="仿宋_GB2312"/>
          <w:szCs w:val="28"/>
        </w:rPr>
      </w:pPr>
      <w:r w:rsidRPr="009F09A7">
        <w:rPr>
          <w:rFonts w:ascii="仿宋_GB2312" w:hAnsi="仿宋_GB2312" w:cs="仿宋_GB2312" w:hint="eastAsia"/>
          <w:szCs w:val="28"/>
        </w:rPr>
        <w:t>经查阅，暂无与“大红</w:t>
      </w:r>
      <w:proofErr w:type="gramStart"/>
      <w:r w:rsidRPr="009F09A7">
        <w:rPr>
          <w:rFonts w:ascii="仿宋_GB2312" w:hAnsi="仿宋_GB2312" w:cs="仿宋_GB2312" w:hint="eastAsia"/>
          <w:szCs w:val="28"/>
        </w:rPr>
        <w:t>柑</w:t>
      </w:r>
      <w:proofErr w:type="gramEnd"/>
      <w:r w:rsidRPr="009F09A7">
        <w:rPr>
          <w:rFonts w:ascii="仿宋_GB2312" w:hAnsi="仿宋_GB2312" w:cs="仿宋_GB2312" w:hint="eastAsia"/>
          <w:szCs w:val="28"/>
        </w:rPr>
        <w:t>智慧种植园建设与管理规范”相关的标准，国内外与“大红柑”相关的标准有，《DB44/T 180-2004  大红柑生产技术规程》</w:t>
      </w:r>
      <w:proofErr w:type="gramStart"/>
      <w:r w:rsidRPr="009F09A7">
        <w:rPr>
          <w:rFonts w:ascii="仿宋_GB2312" w:hAnsi="仿宋_GB2312" w:cs="仿宋_GB2312" w:hint="eastAsia"/>
          <w:szCs w:val="28"/>
        </w:rPr>
        <w:t>《</w:t>
      </w:r>
      <w:proofErr w:type="gramEnd"/>
      <w:r w:rsidRPr="009F09A7">
        <w:rPr>
          <w:rFonts w:ascii="仿宋_GB2312" w:hAnsi="仿宋_GB2312" w:cs="仿宋_GB2312" w:hint="eastAsia"/>
          <w:szCs w:val="28"/>
        </w:rPr>
        <w:t>T/GXAS 1017.1—2025  浦北陈皮用大红</w:t>
      </w:r>
      <w:proofErr w:type="gramStart"/>
      <w:r w:rsidRPr="009F09A7">
        <w:rPr>
          <w:rFonts w:ascii="仿宋_GB2312" w:hAnsi="仿宋_GB2312" w:cs="仿宋_GB2312" w:hint="eastAsia"/>
          <w:szCs w:val="28"/>
        </w:rPr>
        <w:t>柑</w:t>
      </w:r>
      <w:proofErr w:type="gramEnd"/>
      <w:r w:rsidRPr="009F09A7">
        <w:rPr>
          <w:rFonts w:ascii="仿宋_GB2312" w:hAnsi="仿宋_GB2312" w:cs="仿宋_GB2312" w:hint="eastAsia"/>
          <w:szCs w:val="28"/>
        </w:rPr>
        <w:t xml:space="preserve">  第1部分：无病健康采穗 </w:t>
      </w:r>
      <w:proofErr w:type="gramStart"/>
      <w:r w:rsidRPr="009F09A7">
        <w:rPr>
          <w:rFonts w:ascii="仿宋_GB2312" w:hAnsi="仿宋_GB2312" w:cs="仿宋_GB2312" w:hint="eastAsia"/>
          <w:szCs w:val="28"/>
        </w:rPr>
        <w:t>圃</w:t>
      </w:r>
      <w:proofErr w:type="gramEnd"/>
      <w:r w:rsidRPr="009F09A7">
        <w:rPr>
          <w:rFonts w:ascii="仿宋_GB2312" w:hAnsi="仿宋_GB2312" w:cs="仿宋_GB2312" w:hint="eastAsia"/>
          <w:szCs w:val="28"/>
        </w:rPr>
        <w:t>营建技术规程</w:t>
      </w:r>
      <w:proofErr w:type="gramStart"/>
      <w:r w:rsidRPr="009F09A7">
        <w:rPr>
          <w:rFonts w:ascii="仿宋_GB2312" w:hAnsi="仿宋_GB2312" w:cs="仿宋_GB2312" w:hint="eastAsia"/>
          <w:szCs w:val="28"/>
        </w:rPr>
        <w:t>》《</w:t>
      </w:r>
      <w:proofErr w:type="gramEnd"/>
      <w:r w:rsidRPr="009F09A7">
        <w:rPr>
          <w:rFonts w:ascii="仿宋_GB2312" w:hAnsi="仿宋_GB2312" w:cs="仿宋_GB2312" w:hint="eastAsia"/>
          <w:szCs w:val="28"/>
        </w:rPr>
        <w:t>T/GXAS 1017.2—2025  浦北陈皮用大红</w:t>
      </w:r>
      <w:proofErr w:type="gramStart"/>
      <w:r w:rsidRPr="009F09A7">
        <w:rPr>
          <w:rFonts w:ascii="仿宋_GB2312" w:hAnsi="仿宋_GB2312" w:cs="仿宋_GB2312" w:hint="eastAsia"/>
          <w:szCs w:val="28"/>
        </w:rPr>
        <w:t>柑</w:t>
      </w:r>
      <w:proofErr w:type="gramEnd"/>
      <w:r w:rsidRPr="009F09A7">
        <w:rPr>
          <w:rFonts w:ascii="仿宋_GB2312" w:hAnsi="仿宋_GB2312" w:cs="仿宋_GB2312" w:hint="eastAsia"/>
          <w:szCs w:val="28"/>
        </w:rPr>
        <w:t xml:space="preserve">  第2部分：无病健康苗木 繁育技</w:t>
      </w:r>
      <w:r w:rsidRPr="009F09A7">
        <w:rPr>
          <w:rFonts w:ascii="仿宋_GB2312" w:hAnsi="仿宋_GB2312" w:cs="仿宋_GB2312" w:hint="eastAsia"/>
          <w:szCs w:val="28"/>
        </w:rPr>
        <w:lastRenderedPageBreak/>
        <w:t>术规程《T/GXAS 1017.3—2025  浦北陈皮用大红柑  第3部分：生产全过程质量控制技术规范》《T/GXAS 1017.4—2025  浦北陈皮用大红柑  第4部分：老树管护技术规范》等。以上不涉及大红</w:t>
      </w:r>
      <w:proofErr w:type="gramStart"/>
      <w:r w:rsidRPr="009F09A7">
        <w:rPr>
          <w:rFonts w:ascii="仿宋_GB2312" w:hAnsi="仿宋_GB2312" w:cs="仿宋_GB2312" w:hint="eastAsia"/>
          <w:szCs w:val="28"/>
        </w:rPr>
        <w:t>柑</w:t>
      </w:r>
      <w:proofErr w:type="gramEnd"/>
      <w:r w:rsidRPr="009F09A7">
        <w:rPr>
          <w:rFonts w:ascii="仿宋_GB2312" w:hAnsi="仿宋_GB2312" w:cs="仿宋_GB2312" w:hint="eastAsia"/>
          <w:szCs w:val="28"/>
        </w:rPr>
        <w:t>智慧种植园建设与管理技术。</w:t>
      </w:r>
    </w:p>
    <w:p w:rsidR="009A0C7B" w:rsidRPr="004B2637" w:rsidRDefault="00992D31">
      <w:pPr>
        <w:autoSpaceDE w:val="0"/>
        <w:autoSpaceDN w:val="0"/>
        <w:adjustRightInd w:val="0"/>
        <w:ind w:firstLine="640"/>
        <w:jc w:val="left"/>
        <w:rPr>
          <w:rFonts w:ascii="黑体" w:eastAsia="黑体" w:hAnsi="黑体" w:cs="仿宋_GB2312"/>
          <w:szCs w:val="32"/>
        </w:rPr>
      </w:pPr>
      <w:bookmarkStart w:id="1" w:name="_Toc526940084"/>
      <w:r w:rsidRPr="004B2637">
        <w:rPr>
          <w:rFonts w:ascii="黑体" w:eastAsia="黑体" w:hAnsi="黑体" w:cs="仿宋_GB2312" w:hint="eastAsia"/>
          <w:szCs w:val="32"/>
        </w:rPr>
        <w:t>五、</w:t>
      </w:r>
      <w:bookmarkEnd w:id="1"/>
      <w:r w:rsidRPr="004B2637">
        <w:rPr>
          <w:rFonts w:ascii="黑体" w:eastAsia="黑体" w:hAnsi="黑体" w:cs="仿宋_GB2312" w:hint="eastAsia"/>
          <w:szCs w:val="32"/>
        </w:rPr>
        <w:t>主要条款的说明</w:t>
      </w:r>
    </w:p>
    <w:p w:rsidR="009A0C7B" w:rsidRDefault="00992D31">
      <w:pPr>
        <w:ind w:firstLine="640"/>
        <w:rPr>
          <w:rFonts w:ascii="仿宋_GB2312" w:hAnsi="仿宋_GB2312" w:cs="仿宋_GB2312"/>
          <w:szCs w:val="32"/>
          <w:lang w:val="zh-CN"/>
        </w:rPr>
      </w:pPr>
      <w:r w:rsidRPr="00135CBB">
        <w:rPr>
          <w:rFonts w:ascii="仿宋_GB2312" w:hAnsi="仿宋_GB2312" w:cs="仿宋_GB2312" w:hint="eastAsia"/>
          <w:szCs w:val="32"/>
          <w:lang w:val="zh-CN"/>
        </w:rPr>
        <w:t>团体标准《</w:t>
      </w:r>
      <w:r w:rsidR="00027D4D" w:rsidRPr="00135CBB">
        <w:rPr>
          <w:rFonts w:ascii="仿宋_GB2312" w:hAnsi="仿宋_GB2312" w:cs="仿宋_GB2312" w:hint="eastAsia"/>
          <w:szCs w:val="28"/>
        </w:rPr>
        <w:t>大红柑智慧种植园建设与管理规范</w:t>
      </w:r>
      <w:r w:rsidRPr="00135CBB">
        <w:rPr>
          <w:rFonts w:ascii="仿宋_GB2312" w:hAnsi="仿宋_GB2312" w:cs="仿宋_GB2312" w:hint="eastAsia"/>
          <w:szCs w:val="32"/>
          <w:lang w:val="zh-CN"/>
        </w:rPr>
        <w:t>》的主要内容包括：</w:t>
      </w:r>
      <w:r w:rsidR="00135CBB" w:rsidRPr="00135CBB">
        <w:rPr>
          <w:rFonts w:ascii="仿宋_GB2312" w:hAnsi="仿宋_GB2312" w:cs="仿宋_GB2312" w:hint="eastAsia"/>
          <w:szCs w:val="32"/>
          <w:lang w:val="zh-CN"/>
        </w:rPr>
        <w:t>建设要求、监测管理、智能决策管理、精准作业管理、质量追溯管理</w:t>
      </w:r>
      <w:r>
        <w:rPr>
          <w:rFonts w:ascii="仿宋_GB2312" w:hAnsi="仿宋_GB2312" w:cs="仿宋_GB2312" w:hint="eastAsia"/>
          <w:szCs w:val="32"/>
          <w:lang w:val="zh-CN"/>
        </w:rPr>
        <w:t>。本文件主要内容及依据来源说明如下：</w:t>
      </w:r>
    </w:p>
    <w:p w:rsidR="0002230A" w:rsidRDefault="0002230A">
      <w:pPr>
        <w:ind w:firstLine="643"/>
        <w:rPr>
          <w:rFonts w:ascii="仿宋_GB2312" w:hAnsi="仿宋_GB2312" w:cs="仿宋_GB2312"/>
          <w:b/>
          <w:bCs/>
          <w:szCs w:val="32"/>
        </w:rPr>
      </w:pPr>
      <w:r>
        <w:rPr>
          <w:rFonts w:ascii="仿宋_GB2312" w:hAnsi="仿宋_GB2312" w:cs="仿宋_GB2312" w:hint="eastAsia"/>
          <w:b/>
          <w:bCs/>
          <w:szCs w:val="32"/>
        </w:rPr>
        <w:t>(一）术语和定义</w:t>
      </w:r>
    </w:p>
    <w:p w:rsidR="0002230A" w:rsidRDefault="0002230A" w:rsidP="0002230A">
      <w:pPr>
        <w:ind w:firstLine="640"/>
        <w:rPr>
          <w:rFonts w:ascii="仿宋_GB2312" w:hAnsi="仿宋_GB2312" w:cs="仿宋_GB2312"/>
          <w:szCs w:val="32"/>
          <w:lang w:val="zh-CN"/>
        </w:rPr>
      </w:pPr>
      <w:r w:rsidRPr="0002230A">
        <w:rPr>
          <w:rFonts w:ascii="仿宋_GB2312" w:hAnsi="仿宋_GB2312" w:cs="仿宋_GB2312" w:hint="eastAsia"/>
          <w:szCs w:val="32"/>
          <w:lang w:val="zh-CN"/>
        </w:rPr>
        <w:t>大红</w:t>
      </w:r>
      <w:proofErr w:type="gramStart"/>
      <w:r w:rsidRPr="0002230A">
        <w:rPr>
          <w:rFonts w:ascii="仿宋_GB2312" w:hAnsi="仿宋_GB2312" w:cs="仿宋_GB2312" w:hint="eastAsia"/>
          <w:szCs w:val="32"/>
          <w:lang w:val="zh-CN"/>
        </w:rPr>
        <w:t>柑</w:t>
      </w:r>
      <w:proofErr w:type="gramEnd"/>
      <w:r w:rsidRPr="0002230A">
        <w:rPr>
          <w:rFonts w:ascii="仿宋_GB2312" w:hAnsi="仿宋_GB2312" w:cs="仿宋_GB2312" w:hint="eastAsia"/>
          <w:szCs w:val="32"/>
          <w:lang w:val="zh-CN"/>
        </w:rPr>
        <w:t>智慧种植园</w:t>
      </w:r>
      <w:r>
        <w:rPr>
          <w:rFonts w:ascii="仿宋_GB2312" w:hAnsi="仿宋_GB2312" w:cs="仿宋_GB2312" w:hint="eastAsia"/>
          <w:szCs w:val="32"/>
          <w:lang w:val="zh-CN"/>
        </w:rPr>
        <w:t>：主要依据</w:t>
      </w:r>
      <w:r w:rsidRPr="0002230A">
        <w:rPr>
          <w:rFonts w:ascii="仿宋_GB2312" w:hAnsi="仿宋_GB2312" w:cs="仿宋_GB2312" w:hint="eastAsia"/>
          <w:szCs w:val="32"/>
          <w:lang w:val="zh-CN"/>
        </w:rPr>
        <w:t>浦北大红柑本地化实践、柑橘行业智慧管理技术</w:t>
      </w:r>
      <w:r w:rsidR="001B73AD">
        <w:rPr>
          <w:rFonts w:ascii="仿宋_GB2312" w:hAnsi="仿宋_GB2312" w:cs="仿宋_GB2312" w:hint="eastAsia"/>
          <w:szCs w:val="32"/>
          <w:lang w:val="zh-CN"/>
        </w:rPr>
        <w:t>的实际进行总结确定，明确其定义为：</w:t>
      </w:r>
      <w:r w:rsidR="00DC4961" w:rsidRPr="00DC4961">
        <w:rPr>
          <w:rFonts w:ascii="仿宋_GB2312" w:hAnsi="仿宋_GB2312" w:cs="仿宋_GB2312" w:hint="eastAsia"/>
          <w:szCs w:val="32"/>
          <w:lang w:val="zh-CN"/>
        </w:rPr>
        <w:t>基于无线传感器、物联网、云平台、大数据以及互联网等信息技术，实现大红</w:t>
      </w:r>
      <w:proofErr w:type="gramStart"/>
      <w:r w:rsidR="00DC4961" w:rsidRPr="00DC4961">
        <w:rPr>
          <w:rFonts w:ascii="仿宋_GB2312" w:hAnsi="仿宋_GB2312" w:cs="仿宋_GB2312" w:hint="eastAsia"/>
          <w:szCs w:val="32"/>
          <w:lang w:val="zh-CN"/>
        </w:rPr>
        <w:t>柑</w:t>
      </w:r>
      <w:proofErr w:type="gramEnd"/>
      <w:r w:rsidR="00DC4961" w:rsidRPr="00DC4961">
        <w:rPr>
          <w:rFonts w:ascii="仿宋_GB2312" w:hAnsi="仿宋_GB2312" w:cs="仿宋_GB2312" w:hint="eastAsia"/>
          <w:szCs w:val="32"/>
          <w:lang w:val="zh-CN"/>
        </w:rPr>
        <w:t>种植过程中的环境感知、智能精准管控与生产全过程信息化管理的现代化种植园。</w:t>
      </w:r>
    </w:p>
    <w:p w:rsidR="009A008D" w:rsidRDefault="009A008D" w:rsidP="009A008D">
      <w:pPr>
        <w:ind w:firstLineChars="0" w:firstLine="0"/>
        <w:jc w:val="center"/>
        <w:rPr>
          <w:rFonts w:ascii="仿宋_GB2312" w:hAnsi="仿宋_GB2312" w:cs="仿宋_GB2312"/>
          <w:szCs w:val="32"/>
          <w:lang w:val="zh-CN"/>
        </w:rPr>
      </w:pPr>
      <w:r>
        <w:rPr>
          <w:rFonts w:ascii="仿宋_GB2312" w:hAnsi="仿宋_GB2312" w:cs="仿宋_GB2312"/>
          <w:noProof/>
          <w:szCs w:val="32"/>
        </w:rPr>
        <w:drawing>
          <wp:inline distT="0" distB="0" distL="0" distR="0">
            <wp:extent cx="3636335" cy="2727286"/>
            <wp:effectExtent l="0" t="0" r="2540" b="0"/>
            <wp:docPr id="6" name="图片 6" descr="F:\标准部\待完成\2待挂网\团标-大红柑智慧种植园建设与管理规范\2.草案\调研\d30b07d2eebb4ba6be4922e5c952d9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标准部\待完成\2待挂网\团标-大红柑智慧种植园建设与管理规范\2.草案\调研\d30b07d2eebb4ba6be4922e5c952d99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41729" cy="2731332"/>
                    </a:xfrm>
                    <a:prstGeom prst="rect">
                      <a:avLst/>
                    </a:prstGeom>
                    <a:noFill/>
                    <a:ln>
                      <a:noFill/>
                    </a:ln>
                  </pic:spPr>
                </pic:pic>
              </a:graphicData>
            </a:graphic>
          </wp:inline>
        </w:drawing>
      </w:r>
    </w:p>
    <w:p w:rsidR="009A008D" w:rsidRPr="0002230A" w:rsidRDefault="009A008D" w:rsidP="009A008D">
      <w:pPr>
        <w:ind w:firstLineChars="0" w:firstLine="0"/>
        <w:jc w:val="center"/>
        <w:rPr>
          <w:rFonts w:ascii="仿宋_GB2312" w:hAnsi="仿宋_GB2312" w:cs="仿宋_GB2312"/>
          <w:szCs w:val="32"/>
          <w:lang w:val="zh-CN"/>
        </w:rPr>
      </w:pPr>
      <w:r>
        <w:rPr>
          <w:rFonts w:ascii="仿宋_GB2312" w:hAnsi="仿宋_GB2312" w:cs="仿宋_GB2312" w:hint="eastAsia"/>
          <w:szCs w:val="32"/>
          <w:lang w:val="zh-CN"/>
        </w:rPr>
        <w:t>浦北大红柑种植基地图片</w:t>
      </w:r>
    </w:p>
    <w:p w:rsidR="009A0C7B" w:rsidRDefault="0002230A">
      <w:pPr>
        <w:ind w:firstLine="643"/>
        <w:rPr>
          <w:rFonts w:ascii="仿宋_GB2312" w:hAnsi="仿宋_GB2312" w:cs="仿宋_GB2312"/>
          <w:b/>
          <w:bCs/>
          <w:szCs w:val="32"/>
        </w:rPr>
      </w:pPr>
      <w:r>
        <w:rPr>
          <w:rFonts w:ascii="仿宋_GB2312" w:hAnsi="仿宋_GB2312" w:cs="仿宋_GB2312" w:hint="eastAsia"/>
          <w:b/>
          <w:bCs/>
          <w:szCs w:val="32"/>
        </w:rPr>
        <w:lastRenderedPageBreak/>
        <w:t>(二）建设要求</w:t>
      </w:r>
    </w:p>
    <w:p w:rsidR="00A70F4F" w:rsidRDefault="006B484F" w:rsidP="00386EDB">
      <w:pPr>
        <w:autoSpaceDE w:val="0"/>
        <w:autoSpaceDN w:val="0"/>
        <w:adjustRightInd w:val="0"/>
        <w:ind w:firstLine="643"/>
        <w:rPr>
          <w:rFonts w:ascii="仿宋_GB2312" w:hAnsi="仿宋_GB2312" w:cs="仿宋_GB2312"/>
          <w:szCs w:val="32"/>
          <w:lang w:val="zh-CN"/>
        </w:rPr>
      </w:pPr>
      <w:bookmarkStart w:id="2" w:name="_Toc526940086"/>
      <w:r w:rsidRPr="00386EDB">
        <w:rPr>
          <w:rFonts w:ascii="仿宋_GB2312" w:hAnsi="仿宋_GB2312" w:cs="仿宋_GB2312" w:hint="eastAsia"/>
          <w:b/>
          <w:szCs w:val="32"/>
          <w:lang w:val="zh-CN"/>
        </w:rPr>
        <w:t>园地选择</w:t>
      </w:r>
      <w:r>
        <w:rPr>
          <w:rFonts w:ascii="仿宋_GB2312" w:hAnsi="仿宋_GB2312" w:cs="仿宋_GB2312" w:hint="eastAsia"/>
          <w:szCs w:val="32"/>
          <w:lang w:val="zh-CN"/>
        </w:rPr>
        <w:t>应按《</w:t>
      </w:r>
      <w:r w:rsidRPr="006B484F">
        <w:rPr>
          <w:rFonts w:ascii="仿宋_GB2312" w:hAnsi="仿宋_GB2312" w:cs="仿宋_GB2312" w:hint="eastAsia"/>
          <w:szCs w:val="32"/>
          <w:lang w:val="zh-CN"/>
        </w:rPr>
        <w:t>T/GXAS 1017.3  浦北陈皮用大红柑  第3部分：生产全过程质量控制技术规范</w:t>
      </w:r>
      <w:r>
        <w:rPr>
          <w:rFonts w:ascii="仿宋_GB2312" w:hAnsi="仿宋_GB2312" w:cs="仿宋_GB2312" w:hint="eastAsia"/>
          <w:szCs w:val="32"/>
          <w:lang w:val="zh-CN"/>
        </w:rPr>
        <w:t>》的规定执行。</w:t>
      </w:r>
    </w:p>
    <w:p w:rsidR="00EE568F" w:rsidRDefault="00EE568F" w:rsidP="00EE568F">
      <w:pPr>
        <w:autoSpaceDE w:val="0"/>
        <w:autoSpaceDN w:val="0"/>
        <w:adjustRightInd w:val="0"/>
        <w:ind w:firstLineChars="0" w:firstLine="0"/>
        <w:jc w:val="center"/>
        <w:rPr>
          <w:rFonts w:ascii="仿宋_GB2312" w:hAnsi="仿宋_GB2312" w:cs="仿宋_GB2312"/>
          <w:szCs w:val="32"/>
          <w:lang w:val="zh-CN"/>
        </w:rPr>
      </w:pPr>
      <w:r>
        <w:rPr>
          <w:noProof/>
        </w:rPr>
        <w:drawing>
          <wp:inline distT="0" distB="0" distL="0" distR="0" wp14:anchorId="3C48ECAA" wp14:editId="65D9C988">
            <wp:extent cx="5486400" cy="4486939"/>
            <wp:effectExtent l="19050" t="19050" r="19050" b="279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b="1091"/>
                    <a:stretch/>
                  </pic:blipFill>
                  <pic:spPr bwMode="auto">
                    <a:xfrm>
                      <a:off x="0" y="0"/>
                      <a:ext cx="5486400" cy="44869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E568F" w:rsidRPr="006B484F" w:rsidRDefault="00EE568F" w:rsidP="00EE568F">
      <w:pPr>
        <w:autoSpaceDE w:val="0"/>
        <w:autoSpaceDN w:val="0"/>
        <w:adjustRightInd w:val="0"/>
        <w:ind w:firstLineChars="0" w:firstLine="0"/>
        <w:jc w:val="center"/>
        <w:rPr>
          <w:rFonts w:ascii="仿宋_GB2312" w:hAnsi="仿宋_GB2312" w:cs="仿宋_GB2312"/>
          <w:szCs w:val="32"/>
          <w:lang w:val="zh-CN"/>
        </w:rPr>
      </w:pPr>
      <w:r>
        <w:rPr>
          <w:rFonts w:ascii="仿宋_GB2312" w:hAnsi="仿宋_GB2312" w:cs="仿宋_GB2312" w:hint="eastAsia"/>
          <w:szCs w:val="32"/>
          <w:lang w:val="zh-CN"/>
        </w:rPr>
        <w:t>源自：</w:t>
      </w:r>
      <w:r w:rsidRPr="006B484F">
        <w:rPr>
          <w:rFonts w:ascii="仿宋_GB2312" w:hAnsi="仿宋_GB2312" w:cs="仿宋_GB2312" w:hint="eastAsia"/>
          <w:szCs w:val="32"/>
          <w:lang w:val="zh-CN"/>
        </w:rPr>
        <w:t>T/GXAS 1017.3</w:t>
      </w:r>
      <w:r>
        <w:rPr>
          <w:rFonts w:ascii="仿宋_GB2312" w:hAnsi="仿宋_GB2312" w:cs="仿宋_GB2312" w:hint="eastAsia"/>
          <w:szCs w:val="32"/>
          <w:lang w:val="zh-CN"/>
        </w:rPr>
        <w:t>，5.1</w:t>
      </w:r>
    </w:p>
    <w:p w:rsidR="00DC4961" w:rsidRPr="00725107" w:rsidRDefault="000A3744" w:rsidP="00386EDB">
      <w:pPr>
        <w:autoSpaceDE w:val="0"/>
        <w:autoSpaceDN w:val="0"/>
        <w:adjustRightInd w:val="0"/>
        <w:ind w:firstLine="643"/>
        <w:jc w:val="left"/>
        <w:rPr>
          <w:rFonts w:ascii="仿宋_GB2312" w:hAnsi="仿宋_GB2312" w:cs="仿宋_GB2312"/>
          <w:b/>
          <w:szCs w:val="32"/>
          <w:lang w:val="zh-CN"/>
        </w:rPr>
      </w:pPr>
      <w:r w:rsidRPr="00386EDB">
        <w:rPr>
          <w:rFonts w:ascii="仿宋_GB2312" w:hAnsi="仿宋_GB2312" w:cs="仿宋_GB2312" w:hint="eastAsia"/>
          <w:b/>
          <w:szCs w:val="32"/>
          <w:lang w:val="zh-CN"/>
        </w:rPr>
        <w:t>基础设施</w:t>
      </w:r>
      <w:r>
        <w:rPr>
          <w:rFonts w:ascii="仿宋_GB2312" w:hAnsi="仿宋_GB2312" w:cs="仿宋_GB2312" w:hint="eastAsia"/>
          <w:szCs w:val="32"/>
          <w:lang w:val="zh-CN"/>
        </w:rPr>
        <w:t>：</w:t>
      </w:r>
      <w:r w:rsidR="00725107">
        <w:rPr>
          <w:rFonts w:ascii="仿宋_GB2312" w:hAnsi="仿宋_GB2312" w:cs="仿宋_GB2312" w:hint="eastAsia"/>
          <w:szCs w:val="32"/>
          <w:lang w:val="zh-CN"/>
        </w:rPr>
        <w:t>主要根据大红</w:t>
      </w:r>
      <w:proofErr w:type="gramStart"/>
      <w:r w:rsidR="00725107">
        <w:rPr>
          <w:rFonts w:ascii="仿宋_GB2312" w:hAnsi="仿宋_GB2312" w:cs="仿宋_GB2312" w:hint="eastAsia"/>
          <w:szCs w:val="32"/>
          <w:lang w:val="zh-CN"/>
        </w:rPr>
        <w:t>柑</w:t>
      </w:r>
      <w:proofErr w:type="gramEnd"/>
      <w:r w:rsidR="00725107">
        <w:rPr>
          <w:rFonts w:ascii="仿宋_GB2312" w:hAnsi="仿宋_GB2312" w:cs="仿宋_GB2312" w:hint="eastAsia"/>
          <w:szCs w:val="32"/>
          <w:lang w:val="zh-CN"/>
        </w:rPr>
        <w:t>智慧种植园建设的实际要求进行总结明确。规定了应</w:t>
      </w:r>
      <w:r w:rsidR="00725107" w:rsidRPr="00725107">
        <w:rPr>
          <w:rFonts w:ascii="仿宋_GB2312" w:hAnsi="仿宋_GB2312" w:cs="仿宋_GB2312" w:hint="eastAsia"/>
          <w:szCs w:val="32"/>
          <w:lang w:val="zh-CN"/>
        </w:rPr>
        <w:t>建设高速、稳定、可靠、安全的有线或无线网络，实现</w:t>
      </w:r>
      <w:proofErr w:type="gramStart"/>
      <w:r w:rsidR="00725107" w:rsidRPr="00725107">
        <w:rPr>
          <w:rFonts w:ascii="仿宋_GB2312" w:hAnsi="仿宋_GB2312" w:cs="仿宋_GB2312" w:hint="eastAsia"/>
          <w:szCs w:val="32"/>
          <w:lang w:val="zh-CN"/>
        </w:rPr>
        <w:t>园区全</w:t>
      </w:r>
      <w:proofErr w:type="gramEnd"/>
      <w:r w:rsidR="00725107" w:rsidRPr="00725107">
        <w:rPr>
          <w:rFonts w:ascii="仿宋_GB2312" w:hAnsi="仿宋_GB2312" w:cs="仿宋_GB2312" w:hint="eastAsia"/>
          <w:szCs w:val="32"/>
          <w:lang w:val="zh-CN"/>
        </w:rPr>
        <w:t>覆盖</w:t>
      </w:r>
      <w:r w:rsidR="00725107">
        <w:rPr>
          <w:rFonts w:ascii="仿宋_GB2312" w:hAnsi="仿宋_GB2312" w:cs="仿宋_GB2312" w:hint="eastAsia"/>
          <w:szCs w:val="32"/>
          <w:lang w:val="zh-CN"/>
        </w:rPr>
        <w:t>。</w:t>
      </w:r>
      <w:r w:rsidR="00725107" w:rsidRPr="00725107">
        <w:rPr>
          <w:rFonts w:ascii="仿宋_GB2312" w:hAnsi="仿宋_GB2312" w:cs="仿宋_GB2312" w:hint="eastAsia"/>
          <w:szCs w:val="32"/>
          <w:lang w:val="zh-CN"/>
        </w:rPr>
        <w:t>目的是为传感器数据、视频图像等信息的传输提供基础通道。全覆盖确保了所有智能装备都能在线协同工作，为实现精准灌溉、病虫害监测等全流程智能化管理奠定基础</w:t>
      </w:r>
      <w:r w:rsidR="00725107">
        <w:rPr>
          <w:rFonts w:ascii="仿宋_GB2312" w:hAnsi="仿宋_GB2312" w:cs="仿宋_GB2312" w:hint="eastAsia"/>
          <w:szCs w:val="32"/>
          <w:lang w:val="zh-CN"/>
        </w:rPr>
        <w:t>。同时，为确保</w:t>
      </w:r>
      <w:r w:rsidR="00725107" w:rsidRPr="00725107">
        <w:rPr>
          <w:rFonts w:ascii="仿宋_GB2312" w:hAnsi="仿宋_GB2312" w:cs="仿宋_GB2312" w:hint="eastAsia"/>
          <w:szCs w:val="32"/>
          <w:lang w:val="zh-CN"/>
        </w:rPr>
        <w:t>控制指令和水肥一体化等关键数据的及时送达，</w:t>
      </w:r>
      <w:r w:rsidR="00725107" w:rsidRPr="00725107">
        <w:rPr>
          <w:rFonts w:ascii="仿宋_GB2312" w:hAnsi="仿宋_GB2312" w:cs="仿宋_GB2312" w:hint="eastAsia"/>
          <w:szCs w:val="32"/>
          <w:lang w:val="zh-CN"/>
        </w:rPr>
        <w:lastRenderedPageBreak/>
        <w:t>避免指令延迟</w:t>
      </w:r>
      <w:r w:rsidR="00725107">
        <w:rPr>
          <w:rFonts w:ascii="仿宋_GB2312" w:hAnsi="仿宋_GB2312" w:cs="仿宋_GB2312" w:hint="eastAsia"/>
          <w:szCs w:val="32"/>
          <w:lang w:val="zh-CN"/>
        </w:rPr>
        <w:t>，规定了</w:t>
      </w:r>
      <w:r w:rsidR="00725107" w:rsidRPr="00725107">
        <w:rPr>
          <w:rFonts w:ascii="仿宋_GB2312" w:hAnsi="仿宋_GB2312" w:cs="仿宋_GB2312" w:hint="eastAsia"/>
          <w:szCs w:val="32"/>
          <w:lang w:val="zh-CN"/>
        </w:rPr>
        <w:t>网络带宽需保障各类数据稳定实时传输；物联网设施需符合GB/T 44985.2</w:t>
      </w:r>
      <w:r w:rsidR="00725107">
        <w:rPr>
          <w:rFonts w:ascii="仿宋_GB2312" w:hAnsi="仿宋_GB2312" w:cs="仿宋_GB2312" w:hint="eastAsia"/>
          <w:szCs w:val="32"/>
          <w:lang w:val="zh-CN"/>
        </w:rPr>
        <w:t>的规定</w:t>
      </w:r>
      <w:r w:rsidR="00A51323">
        <w:rPr>
          <w:rFonts w:ascii="仿宋_GB2312" w:hAnsi="仿宋_GB2312" w:cs="仿宋_GB2312" w:hint="eastAsia"/>
          <w:szCs w:val="32"/>
          <w:lang w:val="zh-CN"/>
        </w:rPr>
        <w:t>，</w:t>
      </w:r>
      <w:proofErr w:type="gramStart"/>
      <w:r w:rsidR="00A51323">
        <w:rPr>
          <w:rFonts w:ascii="仿宋_GB2312" w:hAnsi="仿宋_GB2312" w:cs="仿宋_GB2312" w:hint="eastAsia"/>
          <w:szCs w:val="32"/>
          <w:lang w:val="zh-CN"/>
        </w:rPr>
        <w:t>且建议</w:t>
      </w:r>
      <w:proofErr w:type="gramEnd"/>
      <w:r w:rsidR="00A51323">
        <w:rPr>
          <w:rFonts w:ascii="仿宋_GB2312" w:hAnsi="仿宋_GB2312" w:cs="仿宋_GB2312" w:hint="eastAsia"/>
          <w:szCs w:val="32"/>
          <w:lang w:val="zh-CN"/>
        </w:rPr>
        <w:t>办公网络与生产控制网络相互独立，</w:t>
      </w:r>
      <w:r w:rsidR="00A51323">
        <w:rPr>
          <w:rFonts w:hint="eastAsia"/>
        </w:rPr>
        <w:t>保持</w:t>
      </w:r>
      <w:r w:rsidR="00A51323" w:rsidRPr="001B4491">
        <w:rPr>
          <w:rFonts w:hint="eastAsia"/>
        </w:rPr>
        <w:t>控制指令的优先性与稳定性</w:t>
      </w:r>
      <w:r w:rsidR="00A51323">
        <w:rPr>
          <w:rFonts w:hint="eastAsia"/>
        </w:rPr>
        <w:t>。</w:t>
      </w:r>
    </w:p>
    <w:p w:rsidR="00DC4961" w:rsidRDefault="00DC4961" w:rsidP="00DC4961">
      <w:pPr>
        <w:autoSpaceDE w:val="0"/>
        <w:autoSpaceDN w:val="0"/>
        <w:adjustRightInd w:val="0"/>
        <w:ind w:firstLine="643"/>
        <w:jc w:val="left"/>
        <w:rPr>
          <w:rFonts w:ascii="仿宋_GB2312" w:hAnsi="仿宋_GB2312" w:cs="仿宋_GB2312"/>
          <w:szCs w:val="32"/>
          <w:lang w:val="zh-CN"/>
        </w:rPr>
      </w:pPr>
      <w:r>
        <w:rPr>
          <w:rFonts w:ascii="仿宋_GB2312" w:hAnsi="仿宋_GB2312" w:cs="仿宋_GB2312" w:hint="eastAsia"/>
          <w:b/>
          <w:bCs/>
          <w:szCs w:val="32"/>
        </w:rPr>
        <w:t>(三）</w:t>
      </w:r>
      <w:r w:rsidRPr="00DC4961">
        <w:rPr>
          <w:rFonts w:ascii="仿宋_GB2312" w:hAnsi="仿宋_GB2312" w:cs="仿宋_GB2312" w:hint="eastAsia"/>
          <w:b/>
          <w:bCs/>
          <w:szCs w:val="32"/>
        </w:rPr>
        <w:t>智能农业系统与设备</w:t>
      </w:r>
    </w:p>
    <w:p w:rsidR="00DC4961" w:rsidRDefault="0039549C" w:rsidP="00DC4961">
      <w:pPr>
        <w:autoSpaceDE w:val="0"/>
        <w:autoSpaceDN w:val="0"/>
        <w:adjustRightInd w:val="0"/>
        <w:ind w:firstLine="640"/>
        <w:jc w:val="left"/>
        <w:rPr>
          <w:rFonts w:ascii="仿宋_GB2312" w:hAnsi="仿宋_GB2312" w:cs="仿宋_GB2312"/>
          <w:szCs w:val="32"/>
          <w:lang w:val="zh-CN"/>
        </w:rPr>
      </w:pPr>
      <w:r>
        <w:rPr>
          <w:rFonts w:ascii="仿宋_GB2312" w:hAnsi="仿宋_GB2312" w:cs="仿宋_GB2312" w:hint="eastAsia"/>
          <w:szCs w:val="32"/>
          <w:lang w:val="zh-CN"/>
        </w:rPr>
        <w:t>在</w:t>
      </w:r>
      <w:bookmarkStart w:id="3" w:name="_Toc214268066"/>
      <w:r w:rsidRPr="00244C79">
        <w:rPr>
          <w:rFonts w:hint="eastAsia"/>
        </w:rPr>
        <w:t>智能装备配置</w:t>
      </w:r>
      <w:bookmarkEnd w:id="3"/>
      <w:r>
        <w:rPr>
          <w:rFonts w:hint="eastAsia"/>
        </w:rPr>
        <w:t>方面，主要结合浦北各智慧种植园的实际做法进行总结确定，明确了</w:t>
      </w:r>
      <w:proofErr w:type="gramStart"/>
      <w:r w:rsidR="00DC4961">
        <w:rPr>
          <w:rFonts w:ascii="仿宋_GB2312" w:hAnsi="仿宋_GB2312" w:cs="仿宋_GB2312" w:hint="eastAsia"/>
          <w:szCs w:val="32"/>
          <w:lang w:val="zh-CN"/>
        </w:rPr>
        <w:t>农业四情监测</w:t>
      </w:r>
      <w:proofErr w:type="gramEnd"/>
      <w:r w:rsidR="00DC4961">
        <w:rPr>
          <w:rFonts w:ascii="仿宋_GB2312" w:hAnsi="仿宋_GB2312" w:cs="仿宋_GB2312" w:hint="eastAsia"/>
          <w:szCs w:val="32"/>
          <w:lang w:val="zh-CN"/>
        </w:rPr>
        <w:t>系统、水肥一体化系统、病虫害监控设备、智能农机设备等方面。</w:t>
      </w:r>
    </w:p>
    <w:p w:rsidR="00A51323" w:rsidRDefault="00A51323" w:rsidP="0039549C">
      <w:pPr>
        <w:autoSpaceDE w:val="0"/>
        <w:autoSpaceDN w:val="0"/>
        <w:adjustRightInd w:val="0"/>
        <w:ind w:firstLine="640"/>
        <w:jc w:val="left"/>
        <w:rPr>
          <w:rFonts w:ascii="仿宋_GB2312" w:hAnsi="仿宋_GB2312" w:cs="仿宋_GB2312"/>
          <w:szCs w:val="32"/>
          <w:lang w:val="zh-CN"/>
        </w:rPr>
      </w:pPr>
      <w:proofErr w:type="gramStart"/>
      <w:r>
        <w:rPr>
          <w:rFonts w:ascii="仿宋_GB2312" w:hAnsi="仿宋_GB2312" w:cs="仿宋_GB2312" w:hint="eastAsia"/>
          <w:szCs w:val="32"/>
          <w:lang w:val="zh-CN"/>
        </w:rPr>
        <w:t>农业四情监测</w:t>
      </w:r>
      <w:proofErr w:type="gramEnd"/>
      <w:r>
        <w:rPr>
          <w:rFonts w:ascii="仿宋_GB2312" w:hAnsi="仿宋_GB2312" w:cs="仿宋_GB2312" w:hint="eastAsia"/>
          <w:szCs w:val="32"/>
          <w:lang w:val="zh-CN"/>
        </w:rPr>
        <w:t>系统：</w:t>
      </w:r>
      <w:r w:rsidR="0039549C">
        <w:rPr>
          <w:rFonts w:ascii="仿宋_GB2312" w:hAnsi="仿宋_GB2312" w:cs="仿宋_GB2312" w:hint="eastAsia"/>
          <w:szCs w:val="32"/>
          <w:lang w:val="zh-CN"/>
        </w:rPr>
        <w:t>规定了应</w:t>
      </w:r>
      <w:r w:rsidR="0039549C" w:rsidRPr="0039549C">
        <w:rPr>
          <w:rFonts w:ascii="仿宋_GB2312" w:hAnsi="仿宋_GB2312" w:cs="仿宋_GB2312" w:hint="eastAsia"/>
          <w:szCs w:val="32"/>
          <w:lang w:val="zh-CN"/>
        </w:rPr>
        <w:t>构建由种植园监测站、物联网网关、远程监控平台组成的天空地一体化监测网络，实现数据采集、传输与决策应用。监测数据应上传至云端管理平台，实现数据可视化、历史数据查询、阈值报警，并与水肥一体化等系统联动</w:t>
      </w:r>
      <w:r w:rsidR="0039549C">
        <w:rPr>
          <w:rFonts w:ascii="仿宋_GB2312" w:hAnsi="仿宋_GB2312" w:cs="仿宋_GB2312" w:hint="eastAsia"/>
          <w:szCs w:val="32"/>
          <w:lang w:val="zh-CN"/>
        </w:rPr>
        <w:t>。</w:t>
      </w:r>
      <w:r w:rsidRPr="00A51323">
        <w:rPr>
          <w:rFonts w:ascii="仿宋_GB2312" w:hAnsi="仿宋_GB2312" w:cs="仿宋_GB2312" w:hint="eastAsia"/>
          <w:szCs w:val="32"/>
          <w:lang w:val="zh-CN"/>
        </w:rPr>
        <w:t>智慧</w:t>
      </w:r>
      <w:proofErr w:type="gramStart"/>
      <w:r w:rsidRPr="00A51323">
        <w:rPr>
          <w:rFonts w:ascii="仿宋_GB2312" w:hAnsi="仿宋_GB2312" w:cs="仿宋_GB2312" w:hint="eastAsia"/>
          <w:szCs w:val="32"/>
          <w:lang w:val="zh-CN"/>
        </w:rPr>
        <w:t>农业四情监测</w:t>
      </w:r>
      <w:proofErr w:type="gramEnd"/>
      <w:r w:rsidRPr="00A51323">
        <w:rPr>
          <w:rFonts w:ascii="仿宋_GB2312" w:hAnsi="仿宋_GB2312" w:cs="仿宋_GB2312" w:hint="eastAsia"/>
          <w:szCs w:val="32"/>
          <w:lang w:val="zh-CN"/>
        </w:rPr>
        <w:t>系统通过构建“空-天-地”一体化的立体监测网络，</w:t>
      </w:r>
      <w:r w:rsidR="0039549C">
        <w:rPr>
          <w:rFonts w:ascii="仿宋_GB2312" w:hAnsi="仿宋_GB2312" w:cs="仿宋_GB2312" w:hint="eastAsia"/>
          <w:szCs w:val="32"/>
          <w:lang w:val="zh-CN"/>
        </w:rPr>
        <w:t>包括</w:t>
      </w:r>
      <w:r w:rsidR="0039549C" w:rsidRPr="0039549C">
        <w:rPr>
          <w:rFonts w:ascii="仿宋_GB2312" w:hAnsi="仿宋_GB2312" w:cs="仿宋_GB2312" w:hint="eastAsia"/>
          <w:szCs w:val="32"/>
          <w:lang w:val="zh-CN"/>
        </w:rPr>
        <w:t>墒情、苗情、虫情、灾情</w:t>
      </w:r>
      <w:r w:rsidR="0039549C">
        <w:rPr>
          <w:rFonts w:ascii="仿宋_GB2312" w:hAnsi="仿宋_GB2312" w:cs="仿宋_GB2312" w:hint="eastAsia"/>
          <w:szCs w:val="32"/>
          <w:lang w:val="zh-CN"/>
        </w:rPr>
        <w:t>的</w:t>
      </w:r>
      <w:r w:rsidR="0039549C" w:rsidRPr="0039549C">
        <w:rPr>
          <w:rFonts w:ascii="仿宋_GB2312" w:hAnsi="仿宋_GB2312" w:cs="仿宋_GB2312" w:hint="eastAsia"/>
          <w:szCs w:val="32"/>
          <w:lang w:val="zh-CN"/>
        </w:rPr>
        <w:t>监测</w:t>
      </w:r>
      <w:r w:rsidRPr="00A51323">
        <w:rPr>
          <w:rFonts w:ascii="仿宋_GB2312" w:hAnsi="仿宋_GB2312" w:cs="仿宋_GB2312" w:hint="eastAsia"/>
          <w:szCs w:val="32"/>
          <w:lang w:val="zh-CN"/>
        </w:rPr>
        <w:t>。</w:t>
      </w:r>
      <w:r w:rsidR="0039549C">
        <w:rPr>
          <w:rFonts w:ascii="仿宋_GB2312" w:hAnsi="仿宋_GB2312" w:cs="仿宋_GB2312" w:hint="eastAsia"/>
          <w:szCs w:val="32"/>
          <w:lang w:val="zh-CN"/>
        </w:rPr>
        <w:t>具体为：（1）</w:t>
      </w:r>
      <w:r w:rsidRPr="00A51323">
        <w:rPr>
          <w:rFonts w:ascii="仿宋_GB2312" w:hAnsi="仿宋_GB2312" w:cs="仿宋_GB2312" w:hint="eastAsia"/>
          <w:szCs w:val="32"/>
          <w:lang w:val="zh-CN"/>
        </w:rPr>
        <w:t>墒情监测自动化：分布在</w:t>
      </w:r>
      <w:r w:rsidR="0039549C">
        <w:rPr>
          <w:rFonts w:ascii="仿宋_GB2312" w:hAnsi="仿宋_GB2312" w:cs="仿宋_GB2312" w:hint="eastAsia"/>
          <w:szCs w:val="32"/>
          <w:lang w:val="zh-CN"/>
        </w:rPr>
        <w:t>种植园</w:t>
      </w:r>
      <w:r w:rsidRPr="00A51323">
        <w:rPr>
          <w:rFonts w:ascii="仿宋_GB2312" w:hAnsi="仿宋_GB2312" w:cs="仿宋_GB2312" w:hint="eastAsia"/>
          <w:szCs w:val="32"/>
          <w:lang w:val="zh-CN"/>
        </w:rPr>
        <w:t>的高低频土壤水分传感器，能够实时、连续地监测不同土层的含水量数据，结合气象信息，为精</w:t>
      </w:r>
      <w:r w:rsidR="0039549C">
        <w:rPr>
          <w:rFonts w:ascii="仿宋_GB2312" w:hAnsi="仿宋_GB2312" w:cs="仿宋_GB2312" w:hint="eastAsia"/>
          <w:szCs w:val="32"/>
          <w:lang w:val="zh-CN"/>
        </w:rPr>
        <w:t>准灌溉提供科学依据，极大提升了水资源利用效率，有效避免旱涝胁迫。（2）</w:t>
      </w:r>
      <w:r w:rsidRPr="00A51323">
        <w:rPr>
          <w:rFonts w:ascii="仿宋_GB2312" w:hAnsi="仿宋_GB2312" w:cs="仿宋_GB2312" w:hint="eastAsia"/>
          <w:szCs w:val="32"/>
          <w:lang w:val="zh-CN"/>
        </w:rPr>
        <w:t>苗情监测可视化：借助田间高清摄像头及无人机遥感技术，可实现作物长势的远程、大范围监测。通过图像识别和光谱分析，系统能够定量评估叶面积指数、叶绿素含量等关键指标，及时发现长势异常，为精准施肥、调控群体结构提供支持。</w:t>
      </w:r>
      <w:r w:rsidR="0039549C">
        <w:rPr>
          <w:rFonts w:ascii="仿宋_GB2312" w:hAnsi="仿宋_GB2312" w:cs="仿宋_GB2312" w:hint="eastAsia"/>
          <w:szCs w:val="32"/>
          <w:lang w:val="zh-CN"/>
        </w:rPr>
        <w:t>（3）</w:t>
      </w:r>
      <w:r w:rsidRPr="00A51323">
        <w:rPr>
          <w:rFonts w:ascii="仿宋_GB2312" w:hAnsi="仿宋_GB2312" w:cs="仿宋_GB2312" w:hint="eastAsia"/>
          <w:szCs w:val="32"/>
          <w:lang w:val="zh-CN"/>
        </w:rPr>
        <w:t>虫情监测智能化：智能虫情测报灯自动诱集害虫，并利用图像识别技术对虫体进行计数、分类，实现害虫种群动态的自动</w:t>
      </w:r>
      <w:r w:rsidRPr="00A51323">
        <w:rPr>
          <w:rFonts w:ascii="仿宋_GB2312" w:hAnsi="仿宋_GB2312" w:cs="仿宋_GB2312" w:hint="eastAsia"/>
          <w:szCs w:val="32"/>
          <w:lang w:val="zh-CN"/>
        </w:rPr>
        <w:lastRenderedPageBreak/>
        <w:t>化监测与预警，指导科学用药，减少农药残留和环境污染。</w:t>
      </w:r>
      <w:r w:rsidR="0039549C">
        <w:rPr>
          <w:rFonts w:ascii="仿宋_GB2312" w:hAnsi="仿宋_GB2312" w:cs="仿宋_GB2312" w:hint="eastAsia"/>
          <w:szCs w:val="32"/>
          <w:lang w:val="zh-CN"/>
        </w:rPr>
        <w:t>（4）</w:t>
      </w:r>
      <w:r w:rsidRPr="00A51323">
        <w:rPr>
          <w:rFonts w:ascii="仿宋_GB2312" w:hAnsi="仿宋_GB2312" w:cs="仿宋_GB2312" w:hint="eastAsia"/>
          <w:szCs w:val="32"/>
          <w:lang w:val="zh-CN"/>
        </w:rPr>
        <w:t>灾情监测预警化：系统整合气象站数据、遥感影像以及作物生长模型，可对干旱、冻害、涝渍、风雹等自然灾害进行早期识别和风险</w:t>
      </w:r>
      <w:r>
        <w:rPr>
          <w:rFonts w:ascii="仿宋_GB2312" w:hAnsi="仿宋_GB2312" w:cs="仿宋_GB2312" w:hint="eastAsia"/>
          <w:szCs w:val="32"/>
          <w:lang w:val="zh-CN"/>
        </w:rPr>
        <w:t>预警，为及时采取防灾减灾措施赢得宝贵时间。</w:t>
      </w:r>
    </w:p>
    <w:p w:rsidR="0081767A" w:rsidRDefault="0081767A" w:rsidP="00A34FF5">
      <w:pPr>
        <w:autoSpaceDE w:val="0"/>
        <w:autoSpaceDN w:val="0"/>
        <w:adjustRightInd w:val="0"/>
        <w:ind w:firstLineChars="0" w:firstLine="0"/>
        <w:jc w:val="center"/>
        <w:rPr>
          <w:rFonts w:ascii="仿宋_GB2312" w:hAnsi="仿宋_GB2312" w:cs="仿宋_GB2312"/>
          <w:szCs w:val="32"/>
          <w:lang w:val="zh-CN"/>
        </w:rPr>
      </w:pPr>
      <w:r>
        <w:rPr>
          <w:noProof/>
        </w:rPr>
        <w:drawing>
          <wp:inline distT="0" distB="0" distL="0" distR="0" wp14:anchorId="3153F78A" wp14:editId="7D4C2F7D">
            <wp:extent cx="2860158" cy="2671575"/>
            <wp:effectExtent l="0" t="0" r="0" b="0"/>
            <wp:docPr id="7" name="图片 7" descr="F:\标准部\待完成\2待挂网\团标-大红柑智慧种植园建设与管理规范\2.草案\调研\7783c6e204d27147e072c1950510a0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标准部\待完成\2待挂网\团标-大红柑智慧种植园建设与管理规范\2.草案\调研\7783c6e204d27147e072c1950510a00b.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9944"/>
                    <a:stretch/>
                  </pic:blipFill>
                  <pic:spPr bwMode="auto">
                    <a:xfrm>
                      <a:off x="0" y="0"/>
                      <a:ext cx="2876037" cy="268640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623074A" wp14:editId="58DB68FD">
            <wp:extent cx="2545281" cy="2674159"/>
            <wp:effectExtent l="0" t="0" r="7620" b="0"/>
            <wp:docPr id="8" name="图片 8" descr="F:\标准部\待完成\2待挂网\团标-大红柑智慧种植园建设与管理规范\2.草案\调研\91bc3d84cb8e8925aee5c7a1239a2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标准部\待完成\2待挂网\团标-大红柑智慧种植园建设与管理规范\2.草案\调研\91bc3d84cb8e8925aee5c7a1239a2065.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49190" t="38410" r="21141" b="20030"/>
                    <a:stretch/>
                  </pic:blipFill>
                  <pic:spPr bwMode="auto">
                    <a:xfrm>
                      <a:off x="0" y="0"/>
                      <a:ext cx="2563371" cy="2693165"/>
                    </a:xfrm>
                    <a:prstGeom prst="rect">
                      <a:avLst/>
                    </a:prstGeom>
                    <a:noFill/>
                    <a:ln>
                      <a:noFill/>
                    </a:ln>
                    <a:extLst>
                      <a:ext uri="{53640926-AAD7-44D8-BBD7-CCE9431645EC}">
                        <a14:shadowObscured xmlns:a14="http://schemas.microsoft.com/office/drawing/2010/main"/>
                      </a:ext>
                    </a:extLst>
                  </pic:spPr>
                </pic:pic>
              </a:graphicData>
            </a:graphic>
          </wp:inline>
        </w:drawing>
      </w:r>
    </w:p>
    <w:p w:rsidR="0081767A" w:rsidRDefault="0081767A" w:rsidP="0081767A">
      <w:pPr>
        <w:autoSpaceDE w:val="0"/>
        <w:autoSpaceDN w:val="0"/>
        <w:adjustRightInd w:val="0"/>
        <w:ind w:firstLineChars="300" w:firstLine="960"/>
        <w:jc w:val="center"/>
        <w:rPr>
          <w:rFonts w:ascii="仿宋_GB2312" w:hAnsi="仿宋_GB2312" w:cs="仿宋_GB2312"/>
          <w:szCs w:val="32"/>
          <w:lang w:val="zh-CN"/>
        </w:rPr>
      </w:pPr>
      <w:r>
        <w:rPr>
          <w:rFonts w:hint="eastAsia"/>
          <w:noProof/>
        </w:rPr>
        <w:t>地插式微喷设备（左）和</w:t>
      </w:r>
      <w:r>
        <w:rPr>
          <w:rFonts w:ascii="仿宋_GB2312" w:hAnsi="仿宋_GB2312" w:cs="仿宋_GB2312" w:hint="eastAsia"/>
          <w:szCs w:val="32"/>
        </w:rPr>
        <w:t>太阳能杀虫灯（右）</w:t>
      </w:r>
    </w:p>
    <w:p w:rsidR="0029607B" w:rsidRDefault="00386EDB" w:rsidP="0029607B">
      <w:pPr>
        <w:autoSpaceDE w:val="0"/>
        <w:autoSpaceDN w:val="0"/>
        <w:adjustRightInd w:val="0"/>
        <w:ind w:firstLine="643"/>
        <w:jc w:val="left"/>
        <w:rPr>
          <w:rFonts w:ascii="仿宋_GB2312" w:eastAsiaTheme="minorEastAsia" w:hAnsi="仿宋_GB2312" w:cs="仿宋_GB2312"/>
          <w:szCs w:val="32"/>
          <w:lang w:val="zh-CN"/>
        </w:rPr>
      </w:pPr>
      <w:r w:rsidRPr="00386EDB">
        <w:rPr>
          <w:rFonts w:ascii="仿宋_GB2312" w:hAnsi="仿宋_GB2312" w:cs="仿宋_GB2312" w:hint="eastAsia"/>
          <w:b/>
          <w:szCs w:val="32"/>
          <w:lang w:val="zh-CN"/>
        </w:rPr>
        <w:t>水肥一体化系统</w:t>
      </w:r>
      <w:r w:rsidR="00A34FF5">
        <w:rPr>
          <w:rFonts w:ascii="仿宋_GB2312" w:hAnsi="仿宋_GB2312" w:cs="仿宋_GB2312" w:hint="eastAsia"/>
          <w:szCs w:val="32"/>
          <w:lang w:val="zh-CN"/>
        </w:rPr>
        <w:t>：为</w:t>
      </w:r>
      <w:r w:rsidR="00A34FF5" w:rsidRPr="00A34FF5">
        <w:rPr>
          <w:rFonts w:ascii="仿宋_GB2312" w:hAnsi="仿宋_GB2312" w:cs="仿宋_GB2312" w:hint="eastAsia"/>
          <w:szCs w:val="32"/>
          <w:lang w:val="zh-CN"/>
        </w:rPr>
        <w:t>适配浦北大红柑智慧种植园的规模化种植、精准化管理、生态化灌溉三大核心需求</w:t>
      </w:r>
      <w:r w:rsidR="00A34FF5">
        <w:rPr>
          <w:rFonts w:ascii="仿宋_GB2312" w:hAnsi="仿宋_GB2312" w:cs="仿宋_GB2312" w:hint="eastAsia"/>
          <w:szCs w:val="32"/>
          <w:lang w:val="zh-CN"/>
        </w:rPr>
        <w:t>，</w:t>
      </w:r>
      <w:r w:rsidR="000744AE">
        <w:rPr>
          <w:rFonts w:ascii="仿宋_GB2312" w:hAnsi="仿宋_GB2312" w:cs="仿宋_GB2312" w:hint="eastAsia"/>
          <w:szCs w:val="32"/>
          <w:lang w:val="zh-CN"/>
        </w:rPr>
        <w:t>并</w:t>
      </w:r>
      <w:r w:rsidR="000744AE" w:rsidRPr="000744AE">
        <w:rPr>
          <w:rFonts w:ascii="仿宋_GB2312" w:hAnsi="仿宋_GB2312" w:cs="仿宋_GB2312" w:hint="eastAsia"/>
          <w:szCs w:val="32"/>
          <w:lang w:val="zh-CN"/>
        </w:rPr>
        <w:t>响应《“十四五” 全国农业农村信息化发展规划》中“推进智慧灌溉等智能化装备应用”的要求，结合种植园数字化管理、提质增效的发展目标</w:t>
      </w:r>
      <w:r w:rsidR="000744AE">
        <w:rPr>
          <w:rFonts w:ascii="仿宋_GB2312" w:hAnsi="仿宋_GB2312" w:cs="仿宋_GB2312" w:hint="eastAsia"/>
          <w:szCs w:val="32"/>
          <w:lang w:val="zh-CN"/>
        </w:rPr>
        <w:t>，</w:t>
      </w:r>
      <w:r w:rsidR="00A34FF5">
        <w:rPr>
          <w:rFonts w:ascii="仿宋_GB2312" w:hAnsi="仿宋_GB2312" w:cs="仿宋_GB2312" w:hint="eastAsia"/>
          <w:szCs w:val="32"/>
          <w:lang w:val="zh-CN"/>
        </w:rPr>
        <w:t>规定了</w:t>
      </w:r>
      <w:r w:rsidR="00A34FF5" w:rsidRPr="00A34FF5">
        <w:rPr>
          <w:rFonts w:ascii="仿宋_GB2312" w:hAnsi="仿宋_GB2312" w:cs="仿宋_GB2312" w:hint="eastAsia"/>
          <w:szCs w:val="32"/>
          <w:lang w:val="zh-CN"/>
        </w:rPr>
        <w:t>水肥一体化系统应由水源工程、首部枢纽、输配水管网、微灌装置（滴头/</w:t>
      </w:r>
      <w:r w:rsidR="00A34FF5">
        <w:rPr>
          <w:rFonts w:ascii="仿宋_GB2312" w:hAnsi="仿宋_GB2312" w:cs="仿宋_GB2312" w:hint="eastAsia"/>
          <w:szCs w:val="32"/>
          <w:lang w:val="zh-CN"/>
        </w:rPr>
        <w:t>微喷头）及智能控制单元构成；</w:t>
      </w:r>
      <w:r w:rsidR="00A34FF5" w:rsidRPr="00A34FF5">
        <w:rPr>
          <w:rFonts w:ascii="仿宋_GB2312" w:hAnsi="仿宋_GB2312" w:cs="仿宋_GB2312" w:hint="eastAsia"/>
          <w:szCs w:val="32"/>
          <w:lang w:val="zh-CN"/>
        </w:rPr>
        <w:t>系统应具备接收土壤墒情、气象预报等数据，支持远程、定时、循环等多种控制模式</w:t>
      </w:r>
      <w:r w:rsidR="00A34FF5">
        <w:rPr>
          <w:rFonts w:ascii="仿宋_GB2312" w:hAnsi="仿宋_GB2312" w:cs="仿宋_GB2312" w:hint="eastAsia"/>
          <w:szCs w:val="32"/>
          <w:lang w:val="zh-CN"/>
        </w:rPr>
        <w:t>。</w:t>
      </w:r>
      <w:r w:rsidR="00A34FF5" w:rsidRPr="00A34FF5">
        <w:rPr>
          <w:rFonts w:ascii="仿宋_GB2312" w:hAnsi="仿宋_GB2312" w:cs="仿宋_GB2312" w:hint="eastAsia"/>
          <w:szCs w:val="32"/>
          <w:lang w:val="zh-CN"/>
        </w:rPr>
        <w:t>浦北大红柑种植园多分布于丘陵山地，地块分散且坡度差异较大，传统灌溉系统易出现供水不均、损耗率高的问题。通过完整的“水源-首部-管网-终端-控制”五级架构，可实现从水</w:t>
      </w:r>
      <w:r w:rsidR="00A34FF5" w:rsidRPr="00A34FF5">
        <w:rPr>
          <w:rFonts w:ascii="仿宋_GB2312" w:hAnsi="仿宋_GB2312" w:cs="仿宋_GB2312" w:hint="eastAsia"/>
          <w:szCs w:val="32"/>
          <w:lang w:val="zh-CN"/>
        </w:rPr>
        <w:lastRenderedPageBreak/>
        <w:t>源调配到单株灌溉的全流程可控，解决山地灌溉“远距输水、高低差供水、分区精准配送”的痛点</w:t>
      </w:r>
      <w:r w:rsidR="000744AE">
        <w:rPr>
          <w:rFonts w:ascii="仿宋_GB2312" w:hAnsi="仿宋_GB2312" w:cs="仿宋_GB2312" w:hint="eastAsia"/>
          <w:szCs w:val="32"/>
          <w:lang w:val="zh-CN"/>
        </w:rPr>
        <w:t>。</w:t>
      </w:r>
      <w:r w:rsidR="00F25716">
        <w:rPr>
          <w:rFonts w:ascii="仿宋_GB2312" w:hAnsi="仿宋_GB2312" w:cs="仿宋_GB2312" w:hint="eastAsia"/>
          <w:szCs w:val="32"/>
          <w:lang w:val="zh-CN"/>
        </w:rPr>
        <w:t>依据：</w:t>
      </w:r>
      <w:r w:rsidR="000744AE" w:rsidRPr="000744AE">
        <w:rPr>
          <w:rFonts w:ascii="仿宋_GB2312" w:hAnsi="仿宋_GB2312" w:cs="仿宋_GB2312" w:hint="eastAsia"/>
          <w:szCs w:val="32"/>
          <w:lang w:val="zh-CN"/>
        </w:rPr>
        <w:t>《柑橘优质高产栽培技术规程》中关于灌溉时机与灌水量的精准调控要求；《农业物联网应用通则》（</w:t>
      </w:r>
      <w:r w:rsidR="000744AE" w:rsidRPr="000744AE">
        <w:rPr>
          <w:rFonts w:ascii="仿宋_GB2312" w:hAnsi="仿宋_GB2312" w:cs="仿宋_GB2312"/>
          <w:szCs w:val="32"/>
          <w:lang w:val="zh-CN"/>
        </w:rPr>
        <w:t>GB/T 32950-2016</w:t>
      </w:r>
      <w:r w:rsidR="000744AE" w:rsidRPr="000744AE">
        <w:rPr>
          <w:rFonts w:ascii="仿宋_GB2312" w:hAnsi="仿宋_GB2312" w:cs="仿宋_GB2312" w:hint="eastAsia"/>
          <w:szCs w:val="32"/>
          <w:lang w:val="zh-CN"/>
        </w:rPr>
        <w:t>）中关于农业数据采集、传输与应用的规范，结合土壤墒情传感器、气象站等设备的实际应用场景</w:t>
      </w:r>
      <w:r w:rsidR="00F25716">
        <w:rPr>
          <w:rFonts w:ascii="仿宋_GB2312" w:hAnsi="仿宋_GB2312" w:cs="仿宋_GB2312" w:hint="eastAsia"/>
          <w:szCs w:val="32"/>
          <w:lang w:val="zh-CN"/>
        </w:rPr>
        <w:t>，同时，还</w:t>
      </w:r>
      <w:r w:rsidR="000744AE" w:rsidRPr="000744AE">
        <w:rPr>
          <w:rFonts w:ascii="仿宋_GB2312" w:hAnsi="仿宋_GB2312" w:cs="仿宋_GB2312" w:hint="eastAsia"/>
          <w:szCs w:val="32"/>
          <w:lang w:val="zh-CN"/>
        </w:rPr>
        <w:t>参考浦北大红柑种植园现有管理模式中</w:t>
      </w:r>
      <w:r w:rsidR="000744AE" w:rsidRPr="000744AE">
        <w:rPr>
          <w:rFonts w:ascii="仿宋_GB2312" w:hAnsi="仿宋_GB2312" w:cs="仿宋_GB2312"/>
          <w:szCs w:val="32"/>
          <w:lang w:val="zh-CN"/>
        </w:rPr>
        <w:t>“</w:t>
      </w:r>
      <w:r w:rsidR="000744AE" w:rsidRPr="000744AE">
        <w:rPr>
          <w:rFonts w:ascii="仿宋_GB2312" w:hAnsi="仿宋_GB2312" w:cs="仿宋_GB2312" w:hint="eastAsia"/>
          <w:szCs w:val="32"/>
          <w:lang w:val="zh-CN"/>
        </w:rPr>
        <w:t>分区管理、远程巡检”的实际需</w:t>
      </w:r>
      <w:r w:rsidR="00F25716">
        <w:rPr>
          <w:rFonts w:ascii="仿宋_GB2312" w:hAnsi="仿宋_GB2312" w:cs="仿宋_GB2312" w:hint="eastAsia"/>
          <w:szCs w:val="32"/>
          <w:lang w:val="zh-CN"/>
        </w:rPr>
        <w:t>求，借鉴国内同类智慧柑橘园</w:t>
      </w:r>
      <w:r w:rsidR="000744AE" w:rsidRPr="000744AE">
        <w:rPr>
          <w:rFonts w:ascii="仿宋_GB2312" w:hAnsi="仿宋_GB2312" w:cs="仿宋_GB2312" w:hint="eastAsia"/>
          <w:szCs w:val="32"/>
          <w:lang w:val="zh-CN"/>
        </w:rPr>
        <w:t>的多模式控制应用经验。</w:t>
      </w:r>
    </w:p>
    <w:p w:rsidR="000B51AE" w:rsidRDefault="0029607B" w:rsidP="0029607B">
      <w:pPr>
        <w:autoSpaceDE w:val="0"/>
        <w:autoSpaceDN w:val="0"/>
        <w:adjustRightInd w:val="0"/>
        <w:ind w:firstLine="640"/>
      </w:pPr>
      <w:r w:rsidRPr="00DD5207">
        <w:rPr>
          <w:rFonts w:hint="eastAsia"/>
        </w:rPr>
        <w:t>病虫害监控</w:t>
      </w:r>
      <w:r>
        <w:rPr>
          <w:rFonts w:hint="eastAsia"/>
        </w:rPr>
        <w:t>设备：</w:t>
      </w:r>
      <w:r w:rsidRPr="0029607B">
        <w:rPr>
          <w:rFonts w:hint="eastAsia"/>
        </w:rPr>
        <w:t>基于浦北大红柑多年种植实践中总结的病虫害发生规律，例如柑橘红蜘蛛在气温</w:t>
      </w:r>
      <w:r w:rsidRPr="0029607B">
        <w:rPr>
          <w:rFonts w:hint="eastAsia"/>
        </w:rPr>
        <w:t>20-30</w:t>
      </w:r>
      <w:r w:rsidRPr="0029607B">
        <w:rPr>
          <w:rFonts w:hint="eastAsia"/>
        </w:rPr>
        <w:t>℃、湿度</w:t>
      </w:r>
      <w:r w:rsidRPr="0029607B">
        <w:rPr>
          <w:rFonts w:hint="eastAsia"/>
        </w:rPr>
        <w:t>60%-70%</w:t>
      </w:r>
      <w:r w:rsidRPr="0029607B">
        <w:rPr>
          <w:rFonts w:hint="eastAsia"/>
        </w:rPr>
        <w:t>时易爆发，柑橘炭疽病孢子在降雨后浓度会显著升高，参考《柑橘主要病虫害综合防治技术规范》（</w:t>
      </w:r>
      <w:r w:rsidRPr="0029607B">
        <w:rPr>
          <w:rFonts w:hint="eastAsia"/>
        </w:rPr>
        <w:t>NY/T</w:t>
      </w:r>
      <w:r>
        <w:rPr>
          <w:rFonts w:hint="eastAsia"/>
        </w:rPr>
        <w:t xml:space="preserve"> </w:t>
      </w:r>
      <w:r w:rsidRPr="0029607B">
        <w:rPr>
          <w:rFonts w:hint="eastAsia"/>
        </w:rPr>
        <w:t>3250-2018</w:t>
      </w:r>
      <w:r w:rsidRPr="0029607B">
        <w:rPr>
          <w:rFonts w:hint="eastAsia"/>
        </w:rPr>
        <w:t>）中关于病虫害监测的技术要求，确定需针对性配备虫情与孢</w:t>
      </w:r>
      <w:r>
        <w:rPr>
          <w:rFonts w:hint="eastAsia"/>
        </w:rPr>
        <w:t>子监测设备，规定了应</w:t>
      </w:r>
      <w:r w:rsidRPr="0029607B">
        <w:rPr>
          <w:rFonts w:hint="eastAsia"/>
        </w:rPr>
        <w:t>配备智能性虫情测报灯、孢子捕捉仪等设备，自动采集园内害虫图像及病菌孢子浓度等数据</w:t>
      </w:r>
      <w:r>
        <w:rPr>
          <w:rFonts w:hint="eastAsia"/>
        </w:rPr>
        <w:t>；同时，</w:t>
      </w:r>
      <w:r w:rsidRPr="0029607B">
        <w:rPr>
          <w:rFonts w:hint="eastAsia"/>
        </w:rPr>
        <w:t>参考《农业园区规划设计规范》（</w:t>
      </w:r>
      <w:r w:rsidRPr="0029607B">
        <w:rPr>
          <w:rFonts w:hint="eastAsia"/>
        </w:rPr>
        <w:t>GB/T 51057-2015</w:t>
      </w:r>
      <w:r w:rsidRPr="0029607B">
        <w:rPr>
          <w:rFonts w:hint="eastAsia"/>
        </w:rPr>
        <w:t>）中关于农业园区重点区域（种植区、水源地、仓储区等）安全管理的要求，结合浦北大红柑种植园地形分布、功能分区实际情况，以及病虫害通过人员、农机、水源传播的风险路径，确定设备覆盖范围需包含全链条关键区域。</w:t>
      </w:r>
      <w:r>
        <w:rPr>
          <w:rFonts w:hint="eastAsia"/>
        </w:rPr>
        <w:t>规定了，病虫害监控设备应</w:t>
      </w:r>
      <w:r w:rsidRPr="0029607B">
        <w:rPr>
          <w:rFonts w:hint="eastAsia"/>
        </w:rPr>
        <w:t>覆盖种植区、主干道、水源地、仓储区等重点区域。</w:t>
      </w:r>
    </w:p>
    <w:p w:rsidR="0029607B" w:rsidRDefault="0029607B" w:rsidP="0029607B">
      <w:pPr>
        <w:autoSpaceDE w:val="0"/>
        <w:autoSpaceDN w:val="0"/>
        <w:adjustRightInd w:val="0"/>
        <w:ind w:firstLine="640"/>
        <w:jc w:val="left"/>
      </w:pPr>
      <w:r>
        <w:rPr>
          <w:rFonts w:hint="eastAsia"/>
        </w:rPr>
        <w:t>智能农机设备：</w:t>
      </w:r>
      <w:r w:rsidRPr="0029607B">
        <w:rPr>
          <w:rFonts w:hint="eastAsia"/>
        </w:rPr>
        <w:t>浦北大红柑种植园多分布于桂南丘陵地带，</w:t>
      </w:r>
      <w:r w:rsidRPr="0029607B">
        <w:rPr>
          <w:rFonts w:hint="eastAsia"/>
        </w:rPr>
        <w:lastRenderedPageBreak/>
        <w:t>地块呈阶梯状分散，坡度多在</w:t>
      </w:r>
      <w:r w:rsidRPr="0029607B">
        <w:rPr>
          <w:rFonts w:hint="eastAsia"/>
        </w:rPr>
        <w:t>15</w:t>
      </w:r>
      <w:r w:rsidRPr="0029607B">
        <w:rPr>
          <w:rFonts w:hint="eastAsia"/>
        </w:rPr>
        <w:t>°</w:t>
      </w:r>
      <w:r w:rsidRPr="0029607B">
        <w:rPr>
          <w:rFonts w:hint="eastAsia"/>
        </w:rPr>
        <w:t>-30</w:t>
      </w:r>
      <w:r w:rsidRPr="0029607B">
        <w:rPr>
          <w:rFonts w:hint="eastAsia"/>
        </w:rPr>
        <w:t>°之间，部分区域还存在沟壑、陡坡等复杂地形。传统人工植保作业（如背负式喷雾器施肥、喷洒农药）面临三大难题：一是人工爬坡作业安全性低，易发生滑倒、摔伤事故；二是地块分散导致人工往返耗时久，单日作业面积仅</w:t>
      </w:r>
      <w:r>
        <w:rPr>
          <w:rFonts w:hint="eastAsia"/>
        </w:rPr>
        <w:t>2</w:t>
      </w:r>
      <w:r w:rsidR="00270391">
        <w:rPr>
          <w:rFonts w:hint="eastAsia"/>
        </w:rPr>
        <w:t>～</w:t>
      </w:r>
      <w:r>
        <w:rPr>
          <w:rFonts w:hint="eastAsia"/>
        </w:rPr>
        <w:t>3</w:t>
      </w:r>
      <w:r w:rsidRPr="0029607B">
        <w:rPr>
          <w:rFonts w:hint="eastAsia"/>
        </w:rPr>
        <w:t>亩，远无法满足规模化种植需求；三是山地高低差大，人工喷洒易出现“高处漏喷、低处重喷”的问题，药剂浪费率超</w:t>
      </w:r>
      <w:r w:rsidRPr="0029607B">
        <w:rPr>
          <w:rFonts w:hint="eastAsia"/>
        </w:rPr>
        <w:t xml:space="preserve"> 30%</w:t>
      </w:r>
      <w:r w:rsidRPr="0029607B">
        <w:rPr>
          <w:rFonts w:hint="eastAsia"/>
        </w:rPr>
        <w:t>。</w:t>
      </w:r>
      <w:r>
        <w:rPr>
          <w:rFonts w:hint="eastAsia"/>
        </w:rPr>
        <w:t>因此，为</w:t>
      </w:r>
      <w:r w:rsidRPr="0029607B">
        <w:rPr>
          <w:rFonts w:hint="eastAsia"/>
        </w:rPr>
        <w:t>响应《广西壮族自治区推进农业机械化和农机装备产业转型升级实施方案》中“推广无人机等高效植保机械，提升丘陵山区农业机械化水平”的要求，</w:t>
      </w:r>
      <w:r w:rsidR="00E86B52">
        <w:rPr>
          <w:rFonts w:hint="eastAsia"/>
        </w:rPr>
        <w:t>规定了应</w:t>
      </w:r>
      <w:r w:rsidR="00E86B52" w:rsidRPr="00E86B52">
        <w:rPr>
          <w:rFonts w:hint="eastAsia"/>
        </w:rPr>
        <w:t>根据种植园地势特点，配备农业无人机等设备用于植保作业（如农药喷洒、施肥）、吊运等工作。</w:t>
      </w:r>
    </w:p>
    <w:p w:rsidR="00E86B52" w:rsidRPr="00E86B52" w:rsidRDefault="00E86B52" w:rsidP="00E86B52">
      <w:pPr>
        <w:autoSpaceDE w:val="0"/>
        <w:autoSpaceDN w:val="0"/>
        <w:adjustRightInd w:val="0"/>
        <w:ind w:firstLine="643"/>
        <w:jc w:val="left"/>
      </w:pPr>
      <w:r>
        <w:rPr>
          <w:rFonts w:ascii="仿宋_GB2312" w:hAnsi="仿宋_GB2312" w:cs="仿宋_GB2312" w:hint="eastAsia"/>
          <w:b/>
          <w:bCs/>
          <w:szCs w:val="32"/>
        </w:rPr>
        <w:t>(四）</w:t>
      </w:r>
      <w:r w:rsidRPr="00E86B52">
        <w:rPr>
          <w:rFonts w:ascii="仿宋_GB2312" w:hAnsi="仿宋_GB2312" w:cs="仿宋_GB2312" w:hint="eastAsia"/>
          <w:b/>
          <w:bCs/>
          <w:szCs w:val="32"/>
        </w:rPr>
        <w:t>智慧生产管理</w:t>
      </w:r>
    </w:p>
    <w:p w:rsidR="0029607B" w:rsidRDefault="00270391" w:rsidP="0029607B">
      <w:pPr>
        <w:autoSpaceDE w:val="0"/>
        <w:autoSpaceDN w:val="0"/>
        <w:adjustRightInd w:val="0"/>
        <w:ind w:firstLine="640"/>
        <w:jc w:val="left"/>
      </w:pPr>
      <w:r>
        <w:rPr>
          <w:rFonts w:ascii="仿宋_GB2312" w:eastAsiaTheme="minorEastAsia" w:hAnsi="仿宋_GB2312" w:cs="仿宋_GB2312" w:hint="eastAsia"/>
          <w:szCs w:val="32"/>
          <w:lang w:val="zh-CN"/>
        </w:rPr>
        <w:t>1</w:t>
      </w:r>
      <w:r>
        <w:rPr>
          <w:rFonts w:ascii="仿宋_GB2312" w:eastAsiaTheme="minorEastAsia" w:hAnsi="仿宋_GB2312" w:cs="仿宋_GB2312" w:hint="eastAsia"/>
          <w:szCs w:val="32"/>
          <w:lang w:val="zh-CN"/>
        </w:rPr>
        <w:t>、</w:t>
      </w:r>
      <w:proofErr w:type="gramStart"/>
      <w:r w:rsidRPr="00270391">
        <w:rPr>
          <w:rFonts w:hint="eastAsia"/>
        </w:rPr>
        <w:t>农业四情数据</w:t>
      </w:r>
      <w:proofErr w:type="gramEnd"/>
      <w:r w:rsidRPr="00270391">
        <w:rPr>
          <w:rFonts w:hint="eastAsia"/>
        </w:rPr>
        <w:t>应用</w:t>
      </w:r>
    </w:p>
    <w:p w:rsidR="00270391" w:rsidRDefault="00270391" w:rsidP="0029607B">
      <w:pPr>
        <w:autoSpaceDE w:val="0"/>
        <w:autoSpaceDN w:val="0"/>
        <w:adjustRightInd w:val="0"/>
        <w:ind w:firstLine="640"/>
        <w:jc w:val="left"/>
      </w:pPr>
      <w:r w:rsidRPr="00270391">
        <w:rPr>
          <w:rFonts w:hint="eastAsia"/>
        </w:rPr>
        <w:t>气象监测</w:t>
      </w:r>
      <w:r>
        <w:rPr>
          <w:rFonts w:hint="eastAsia"/>
        </w:rPr>
        <w:t>：主要</w:t>
      </w:r>
      <w:r w:rsidRPr="00270391">
        <w:rPr>
          <w:rFonts w:hint="eastAsia"/>
        </w:rPr>
        <w:t>结合浦北大红柑智慧种植园“数据驱动、精准调控”的定位，确定微气候数据与灌溉、病虫害防控、农事调度等系统的联动需求，实现“气候数据</w:t>
      </w:r>
      <w:r>
        <w:rPr>
          <w:rFonts w:hint="eastAsia"/>
        </w:rPr>
        <w:t>－</w:t>
      </w:r>
      <w:r w:rsidRPr="00270391">
        <w:rPr>
          <w:rFonts w:hint="eastAsia"/>
        </w:rPr>
        <w:t>生产决策</w:t>
      </w:r>
      <w:r>
        <w:rPr>
          <w:rFonts w:hint="eastAsia"/>
        </w:rPr>
        <w:t>－</w:t>
      </w:r>
      <w:r w:rsidRPr="00270391">
        <w:rPr>
          <w:rFonts w:hint="eastAsia"/>
        </w:rPr>
        <w:t>田间管理”的闭环管理</w:t>
      </w:r>
      <w:r>
        <w:rPr>
          <w:rFonts w:hint="eastAsia"/>
        </w:rPr>
        <w:t>。同时</w:t>
      </w:r>
      <w:r w:rsidRPr="00270391">
        <w:rPr>
          <w:rFonts w:hint="eastAsia"/>
        </w:rPr>
        <w:t>参考</w:t>
      </w:r>
      <w:r>
        <w:rPr>
          <w:rFonts w:hint="eastAsia"/>
        </w:rPr>
        <w:t>了</w:t>
      </w:r>
      <w:r w:rsidRPr="00270391">
        <w:rPr>
          <w:rFonts w:hint="eastAsia"/>
        </w:rPr>
        <w:t>《小型农业气象站技术要求》（</w:t>
      </w:r>
      <w:r w:rsidRPr="00270391">
        <w:rPr>
          <w:rFonts w:hint="eastAsia"/>
        </w:rPr>
        <w:t>NY/T 3545-2020</w:t>
      </w:r>
      <w:r w:rsidRPr="00270391">
        <w:rPr>
          <w:rFonts w:hint="eastAsia"/>
        </w:rPr>
        <w:t>）中关于监测指标（空气温湿度、光照强度、降雨量、风速、风向等）、数据精度的规范，以及《农业物联网</w:t>
      </w:r>
      <w:r w:rsidRPr="00270391">
        <w:rPr>
          <w:rFonts w:hint="eastAsia"/>
        </w:rPr>
        <w:t xml:space="preserve"> </w:t>
      </w:r>
      <w:r w:rsidRPr="00270391">
        <w:rPr>
          <w:rFonts w:hint="eastAsia"/>
        </w:rPr>
        <w:t>微气候监测设备通用技术条件》（</w:t>
      </w:r>
      <w:r w:rsidRPr="00270391">
        <w:rPr>
          <w:rFonts w:hint="eastAsia"/>
        </w:rPr>
        <w:t>GB/T 40275-2021</w:t>
      </w:r>
      <w:r w:rsidRPr="00270391">
        <w:rPr>
          <w:rFonts w:hint="eastAsia"/>
        </w:rPr>
        <w:t>）中关于设备传输、存储的要求，确保布设的气象站符合行业标准。</w:t>
      </w:r>
      <w:r>
        <w:rPr>
          <w:rFonts w:hint="eastAsia"/>
        </w:rPr>
        <w:t>规定了</w:t>
      </w:r>
      <w:r w:rsidR="00545F2C">
        <w:rPr>
          <w:rFonts w:hint="eastAsia"/>
        </w:rPr>
        <w:t>应在种植园内</w:t>
      </w:r>
      <w:r w:rsidR="00545F2C" w:rsidRPr="00F72AF7">
        <w:rPr>
          <w:rFonts w:hint="eastAsia"/>
        </w:rPr>
        <w:t>布设小型气象站，</w:t>
      </w:r>
      <w:r w:rsidR="00545F2C" w:rsidRPr="005B6664">
        <w:rPr>
          <w:rFonts w:hint="eastAsia"/>
        </w:rPr>
        <w:t>应包含空气温度、湿度、光照强度、降雨</w:t>
      </w:r>
      <w:r w:rsidR="00545F2C" w:rsidRPr="005B6664">
        <w:rPr>
          <w:rFonts w:hint="eastAsia"/>
        </w:rPr>
        <w:lastRenderedPageBreak/>
        <w:t>量、风速、风向传感器，可选配二氧化碳浓度传感器。安装位置应远离高大建筑物和树木，距地面高度宜为</w:t>
      </w:r>
      <w:r w:rsidR="00545F2C" w:rsidRPr="005B6664">
        <w:rPr>
          <w:rFonts w:hint="eastAsia"/>
        </w:rPr>
        <w:t>1.5</w:t>
      </w:r>
      <w:r w:rsidR="00545F2C" w:rsidRPr="005B6664">
        <w:rPr>
          <w:rFonts w:hint="eastAsia"/>
          <w:vertAlign w:val="subscript"/>
        </w:rPr>
        <w:t xml:space="preserve"> </w:t>
      </w:r>
      <w:r w:rsidR="00545F2C" w:rsidRPr="005B6664">
        <w:rPr>
          <w:rFonts w:hint="eastAsia"/>
        </w:rPr>
        <w:t>m</w:t>
      </w:r>
      <w:r w:rsidR="00545F2C" w:rsidRPr="005B6664">
        <w:rPr>
          <w:rFonts w:hint="eastAsia"/>
        </w:rPr>
        <w:t>±</w:t>
      </w:r>
      <w:r w:rsidR="00545F2C" w:rsidRPr="005B6664">
        <w:rPr>
          <w:rFonts w:hint="eastAsia"/>
        </w:rPr>
        <w:t>0.1</w:t>
      </w:r>
      <w:r w:rsidR="00545F2C" w:rsidRPr="005B6664">
        <w:rPr>
          <w:rFonts w:hint="eastAsia"/>
          <w:vertAlign w:val="subscript"/>
        </w:rPr>
        <w:t xml:space="preserve"> </w:t>
      </w:r>
      <w:r w:rsidR="00545F2C" w:rsidRPr="005B6664">
        <w:rPr>
          <w:rFonts w:hint="eastAsia"/>
        </w:rPr>
        <w:t>m</w:t>
      </w:r>
      <w:r w:rsidR="00545F2C">
        <w:rPr>
          <w:rFonts w:hint="eastAsia"/>
        </w:rPr>
        <w:t>。</w:t>
      </w:r>
    </w:p>
    <w:p w:rsidR="00545F2C" w:rsidRDefault="00270391" w:rsidP="00E23C37">
      <w:pPr>
        <w:autoSpaceDE w:val="0"/>
        <w:autoSpaceDN w:val="0"/>
        <w:adjustRightInd w:val="0"/>
        <w:ind w:firstLine="640"/>
        <w:jc w:val="left"/>
        <w:rPr>
          <w:rFonts w:hint="eastAsia"/>
        </w:rPr>
      </w:pPr>
      <w:r>
        <w:rPr>
          <w:rFonts w:hint="eastAsia"/>
        </w:rPr>
        <w:t>墒情监测：</w:t>
      </w:r>
      <w:r w:rsidR="00545F2C">
        <w:rPr>
          <w:rFonts w:hint="eastAsia"/>
        </w:rPr>
        <w:t>主要</w:t>
      </w:r>
      <w:r w:rsidR="00E23C37" w:rsidRPr="00E23C37">
        <w:rPr>
          <w:rFonts w:hint="eastAsia"/>
        </w:rPr>
        <w:t>结合浦北大红柑多年种植实践中总结的“根系敏感、需精准控境”特性</w:t>
      </w:r>
      <w:r w:rsidR="00E23C37">
        <w:rPr>
          <w:rFonts w:hint="eastAsia"/>
        </w:rPr>
        <w:t>规定了</w:t>
      </w:r>
      <w:r w:rsidR="00E23C37" w:rsidRPr="00E23C37">
        <w:rPr>
          <w:rFonts w:hint="eastAsia"/>
        </w:rPr>
        <w:t>应通过部署的土壤</w:t>
      </w:r>
      <w:r w:rsidR="00545F2C">
        <w:rPr>
          <w:rFonts w:hint="eastAsia"/>
        </w:rPr>
        <w:t>水分</w:t>
      </w:r>
      <w:r w:rsidR="00E23C37" w:rsidRPr="00E23C37">
        <w:rPr>
          <w:rFonts w:hint="eastAsia"/>
        </w:rPr>
        <w:t>传感器，全天候动态采集土壤温度、湿度、</w:t>
      </w:r>
      <w:r w:rsidR="00E23C37" w:rsidRPr="00E23C37">
        <w:rPr>
          <w:rFonts w:hint="eastAsia"/>
        </w:rPr>
        <w:t>pH</w:t>
      </w:r>
      <w:r w:rsidR="00E23C37" w:rsidRPr="00E23C37">
        <w:rPr>
          <w:rFonts w:hint="eastAsia"/>
        </w:rPr>
        <w:t>值、</w:t>
      </w:r>
      <w:r w:rsidR="00E23C37" w:rsidRPr="00E23C37">
        <w:rPr>
          <w:rFonts w:hint="eastAsia"/>
        </w:rPr>
        <w:t>EC</w:t>
      </w:r>
      <w:r w:rsidR="00E23C37" w:rsidRPr="00E23C37">
        <w:rPr>
          <w:rFonts w:hint="eastAsia"/>
        </w:rPr>
        <w:t>值等数据，系统应能根据预设的灌溉阈值进行自动报警，提示灌溉</w:t>
      </w:r>
      <w:r w:rsidR="00545F2C">
        <w:rPr>
          <w:rFonts w:hint="eastAsia"/>
        </w:rPr>
        <w:t>，规定了</w:t>
      </w:r>
      <w:r w:rsidR="00545F2C" w:rsidRPr="00545F2C">
        <w:rPr>
          <w:rFonts w:hint="eastAsia"/>
        </w:rPr>
        <w:t>土壤水分传感器应在代表性区域按网格法或地形法布设，宜每</w:t>
      </w:r>
      <w:r w:rsidR="00545F2C" w:rsidRPr="00545F2C">
        <w:rPr>
          <w:rFonts w:hint="eastAsia"/>
        </w:rPr>
        <w:t>2</w:t>
      </w:r>
      <w:r w:rsidR="00545F2C" w:rsidRPr="00545F2C">
        <w:rPr>
          <w:rFonts w:hint="eastAsia"/>
        </w:rPr>
        <w:t>～</w:t>
      </w:r>
      <w:r w:rsidR="00545F2C" w:rsidRPr="00545F2C">
        <w:rPr>
          <w:rFonts w:hint="eastAsia"/>
        </w:rPr>
        <w:t>5</w:t>
      </w:r>
      <w:r w:rsidR="00545F2C" w:rsidRPr="00545F2C">
        <w:rPr>
          <w:rFonts w:hint="eastAsia"/>
        </w:rPr>
        <w:t>亩布设</w:t>
      </w:r>
      <w:r w:rsidR="00545F2C" w:rsidRPr="00545F2C">
        <w:rPr>
          <w:rFonts w:hint="eastAsia"/>
        </w:rPr>
        <w:t>1</w:t>
      </w:r>
      <w:r w:rsidR="00545F2C" w:rsidRPr="00545F2C">
        <w:rPr>
          <w:rFonts w:hint="eastAsia"/>
        </w:rPr>
        <w:t>个监测点。传感器应在树冠垂直投影范围内，按</w:t>
      </w:r>
      <w:r w:rsidR="00545F2C" w:rsidRPr="00545F2C">
        <w:rPr>
          <w:rFonts w:hint="eastAsia"/>
        </w:rPr>
        <w:t>20 cm</w:t>
      </w:r>
      <w:r w:rsidR="00545F2C" w:rsidRPr="00545F2C">
        <w:rPr>
          <w:rFonts w:hint="eastAsia"/>
        </w:rPr>
        <w:t>、</w:t>
      </w:r>
      <w:r w:rsidR="00545F2C" w:rsidRPr="00545F2C">
        <w:rPr>
          <w:rFonts w:hint="eastAsia"/>
        </w:rPr>
        <w:t>40 cm</w:t>
      </w:r>
      <w:r w:rsidR="00545F2C" w:rsidRPr="00545F2C">
        <w:rPr>
          <w:rFonts w:hint="eastAsia"/>
        </w:rPr>
        <w:t>、</w:t>
      </w:r>
      <w:r w:rsidR="00545F2C" w:rsidRPr="00545F2C">
        <w:rPr>
          <w:rFonts w:hint="eastAsia"/>
        </w:rPr>
        <w:t>60 cm</w:t>
      </w:r>
      <w:r w:rsidR="00545F2C" w:rsidRPr="00545F2C">
        <w:rPr>
          <w:rFonts w:hint="eastAsia"/>
        </w:rPr>
        <w:t>深度分层安装，系统报警阈值应根据大红</w:t>
      </w:r>
      <w:proofErr w:type="gramStart"/>
      <w:r w:rsidR="00545F2C" w:rsidRPr="00545F2C">
        <w:rPr>
          <w:rFonts w:hint="eastAsia"/>
        </w:rPr>
        <w:t>柑</w:t>
      </w:r>
      <w:proofErr w:type="gramEnd"/>
      <w:r w:rsidR="00545F2C" w:rsidRPr="00545F2C">
        <w:rPr>
          <w:rFonts w:hint="eastAsia"/>
        </w:rPr>
        <w:t>不同物候期设定。</w:t>
      </w:r>
    </w:p>
    <w:p w:rsidR="00E86B52" w:rsidRPr="00E23C37" w:rsidRDefault="00E23C37" w:rsidP="00EC6B51">
      <w:pPr>
        <w:autoSpaceDE w:val="0"/>
        <w:autoSpaceDN w:val="0"/>
        <w:adjustRightInd w:val="0"/>
        <w:ind w:firstLine="640"/>
      </w:pPr>
      <w:r>
        <w:rPr>
          <w:rFonts w:hint="eastAsia"/>
        </w:rPr>
        <w:t>苗情与灾情监测：</w:t>
      </w:r>
      <w:r w:rsidRPr="00E23C37">
        <w:rPr>
          <w:rFonts w:hint="eastAsia"/>
        </w:rPr>
        <w:t>响应《数字农业农村发展行动计划（</w:t>
      </w:r>
      <w:r w:rsidRPr="00E23C37">
        <w:rPr>
          <w:rFonts w:hint="eastAsia"/>
        </w:rPr>
        <w:t>2025-2027</w:t>
      </w:r>
      <w:r w:rsidRPr="00E23C37">
        <w:rPr>
          <w:rFonts w:hint="eastAsia"/>
        </w:rPr>
        <w:t>年）》中“推广农业生产智能监控设备，实现灾害自动预警”的要求，契合《广西壮族自治区智慧农业发展规划（</w:t>
      </w:r>
      <w:r w:rsidRPr="00E23C37">
        <w:rPr>
          <w:rFonts w:hint="eastAsia"/>
        </w:rPr>
        <w:t>2023-2027</w:t>
      </w:r>
      <w:r w:rsidRPr="00E23C37">
        <w:rPr>
          <w:rFonts w:hint="eastAsia"/>
        </w:rPr>
        <w:t>年）》中“推进特色水果种植园可视化监管与灾害预警系统建设”的部署</w:t>
      </w:r>
      <w:r>
        <w:rPr>
          <w:rFonts w:hint="eastAsia"/>
        </w:rPr>
        <w:t>，</w:t>
      </w:r>
      <w:r w:rsidRPr="00E23C37">
        <w:rPr>
          <w:rFonts w:hint="eastAsia"/>
        </w:rPr>
        <w:t>依据浦北大红柑种植园丘陵山地、地块分散的地形特点，结合当地种植户“人工巡查难覆盖、灾害发现晚”的实际痛点，参考《农业园区安全监控系统技术规范》（</w:t>
      </w:r>
      <w:r w:rsidRPr="00E23C37">
        <w:rPr>
          <w:rFonts w:hint="eastAsia"/>
        </w:rPr>
        <w:t>GB/T39003-2020</w:t>
      </w:r>
      <w:r w:rsidRPr="00E23C37">
        <w:rPr>
          <w:rFonts w:hint="eastAsia"/>
        </w:rPr>
        <w:t>）中关于山地园区监控设备布局的要求，确定</w:t>
      </w:r>
      <w:proofErr w:type="gramStart"/>
      <w:r w:rsidRPr="00E23C37">
        <w:rPr>
          <w:rFonts w:hint="eastAsia"/>
        </w:rPr>
        <w:t>高清球机</w:t>
      </w:r>
      <w:proofErr w:type="gramEnd"/>
      <w:r w:rsidRPr="00E23C37">
        <w:rPr>
          <w:rFonts w:hint="eastAsia"/>
        </w:rPr>
        <w:t>与枪机的搭配方案，确保覆盖无盲区。</w:t>
      </w:r>
      <w:r>
        <w:rPr>
          <w:rFonts w:hint="eastAsia"/>
        </w:rPr>
        <w:t>因此，规定</w:t>
      </w:r>
      <w:r w:rsidR="00EC6B51" w:rsidRPr="00EC6B51">
        <w:rPr>
          <w:rFonts w:hint="eastAsia"/>
        </w:rPr>
        <w:t>应通过</w:t>
      </w:r>
      <w:proofErr w:type="gramStart"/>
      <w:r w:rsidR="00EC6B51" w:rsidRPr="00EC6B51">
        <w:rPr>
          <w:rFonts w:hint="eastAsia"/>
        </w:rPr>
        <w:t>高清球机</w:t>
      </w:r>
      <w:proofErr w:type="gramEnd"/>
      <w:r w:rsidR="00EC6B51" w:rsidRPr="00EC6B51">
        <w:rPr>
          <w:rFonts w:hint="eastAsia"/>
        </w:rPr>
        <w:t>与枪机摄像头，</w:t>
      </w:r>
      <w:proofErr w:type="gramStart"/>
      <w:r w:rsidR="00EC6B51" w:rsidRPr="00EC6B51">
        <w:rPr>
          <w:rFonts w:hint="eastAsia"/>
        </w:rPr>
        <w:t>高清球机</w:t>
      </w:r>
      <w:proofErr w:type="gramEnd"/>
      <w:r w:rsidR="00EC6B51" w:rsidRPr="00EC6B51">
        <w:rPr>
          <w:rFonts w:hint="eastAsia"/>
        </w:rPr>
        <w:t>应支持</w:t>
      </w:r>
      <w:r w:rsidR="00EC6B51" w:rsidRPr="00EC6B51">
        <w:rPr>
          <w:rFonts w:hint="eastAsia"/>
        </w:rPr>
        <w:t>360</w:t>
      </w:r>
      <w:r w:rsidR="00EC6B51" w:rsidRPr="00EC6B51">
        <w:rPr>
          <w:rFonts w:hint="eastAsia"/>
        </w:rPr>
        <w:t>°水平旋转与±</w:t>
      </w:r>
      <w:r w:rsidR="00EC6B51" w:rsidRPr="00EC6B51">
        <w:rPr>
          <w:rFonts w:hint="eastAsia"/>
        </w:rPr>
        <w:t>90</w:t>
      </w:r>
      <w:r w:rsidR="00EC6B51" w:rsidRPr="00EC6B51">
        <w:rPr>
          <w:rFonts w:hint="eastAsia"/>
        </w:rPr>
        <w:t>°垂直旋转，具备光学变焦功能，分辨率不低于</w:t>
      </w:r>
      <w:r w:rsidR="00EC6B51" w:rsidRPr="00EC6B51">
        <w:rPr>
          <w:rFonts w:hint="eastAsia"/>
        </w:rPr>
        <w:t>2</w:t>
      </w:r>
      <w:r w:rsidR="00EC6B51" w:rsidRPr="00EC6B51">
        <w:rPr>
          <w:rFonts w:hint="eastAsia"/>
        </w:rPr>
        <w:t>×</w:t>
      </w:r>
      <w:r w:rsidR="00EC6B51" w:rsidRPr="00EC6B51">
        <w:rPr>
          <w:rFonts w:hint="eastAsia"/>
        </w:rPr>
        <w:t>106</w:t>
      </w:r>
      <w:r w:rsidR="00EC6B51" w:rsidRPr="00EC6B51">
        <w:rPr>
          <w:rFonts w:hint="eastAsia"/>
        </w:rPr>
        <w:t>像素，枪机应支持固定点位监控</w:t>
      </w:r>
      <w:r w:rsidRPr="00E23C37">
        <w:rPr>
          <w:rFonts w:hint="eastAsia"/>
        </w:rPr>
        <w:t>。</w:t>
      </w:r>
      <w:r w:rsidR="00EC6B51">
        <w:rPr>
          <w:rFonts w:hint="eastAsia"/>
        </w:rPr>
        <w:t>布设点位应确保覆盖主要种植区域，无监控盲区，实时在线监控作物长势，并能定时保存图像资料。</w:t>
      </w:r>
      <w:r w:rsidR="00EC6B51">
        <w:rPr>
          <w:rFonts w:hint="eastAsia"/>
        </w:rPr>
        <w:lastRenderedPageBreak/>
        <w:t>灾情识别功能宜基于图像识别</w:t>
      </w:r>
      <w:r w:rsidR="00EC6B51">
        <w:rPr>
          <w:rFonts w:hint="eastAsia"/>
        </w:rPr>
        <w:t>AI</w:t>
      </w:r>
      <w:r w:rsidR="00EC6B51">
        <w:rPr>
          <w:rFonts w:hint="eastAsia"/>
        </w:rPr>
        <w:t>算法，针对倒春寒（识别霜冻）、干旱（识别叶片萎蔫度）、涝渍（识别地表积水）等灾害的特征建立识别模型</w:t>
      </w:r>
    </w:p>
    <w:p w:rsidR="00E23C37" w:rsidRDefault="00E23C37" w:rsidP="00EC6B51">
      <w:pPr>
        <w:autoSpaceDE w:val="0"/>
        <w:autoSpaceDN w:val="0"/>
        <w:adjustRightInd w:val="0"/>
        <w:ind w:firstLine="640"/>
        <w:jc w:val="left"/>
      </w:pPr>
      <w:r>
        <w:rPr>
          <w:rFonts w:hint="eastAsia"/>
        </w:rPr>
        <w:t>虫情监测：</w:t>
      </w:r>
      <w:r w:rsidR="00AE4019" w:rsidRPr="00AE4019">
        <w:rPr>
          <w:rFonts w:hint="eastAsia"/>
        </w:rPr>
        <w:t>浦北大红</w:t>
      </w:r>
      <w:proofErr w:type="gramStart"/>
      <w:r w:rsidR="00AE4019" w:rsidRPr="00AE4019">
        <w:rPr>
          <w:rFonts w:hint="eastAsia"/>
        </w:rPr>
        <w:t>柑主要</w:t>
      </w:r>
      <w:proofErr w:type="gramEnd"/>
      <w:r w:rsidR="00AE4019" w:rsidRPr="00AE4019">
        <w:rPr>
          <w:rFonts w:hint="eastAsia"/>
        </w:rPr>
        <w:t>病害（如柑橘炭疽病、溃疡病、黄龙病）均通过病原菌孢子传播——炭疽病孢子随风雨扩散，在</w:t>
      </w:r>
      <w:r w:rsidR="00AE4019" w:rsidRPr="00AE4019">
        <w:rPr>
          <w:rFonts w:hint="eastAsia"/>
        </w:rPr>
        <w:t>25-30</w:t>
      </w:r>
      <w:r w:rsidR="00AE4019" w:rsidRPr="00AE4019">
        <w:rPr>
          <w:rFonts w:hint="eastAsia"/>
        </w:rPr>
        <w:t>℃、湿度</w:t>
      </w:r>
      <w:r w:rsidR="00AE4019" w:rsidRPr="00AE4019">
        <w:rPr>
          <w:rFonts w:hint="eastAsia"/>
        </w:rPr>
        <w:t>80%</w:t>
      </w:r>
      <w:r w:rsidR="00AE4019" w:rsidRPr="00AE4019">
        <w:rPr>
          <w:rFonts w:hint="eastAsia"/>
        </w:rPr>
        <w:t>以上时易萌发</w:t>
      </w:r>
      <w:proofErr w:type="gramStart"/>
      <w:r w:rsidR="00AE4019" w:rsidRPr="00AE4019">
        <w:rPr>
          <w:rFonts w:hint="eastAsia"/>
        </w:rPr>
        <w:t>侵染</w:t>
      </w:r>
      <w:proofErr w:type="gramEnd"/>
      <w:r w:rsidR="00AE4019" w:rsidRPr="00AE4019">
        <w:rPr>
          <w:rFonts w:hint="eastAsia"/>
        </w:rPr>
        <w:t>；溃疡病孢子通过雨水飞溅传播，可</w:t>
      </w:r>
      <w:proofErr w:type="gramStart"/>
      <w:r w:rsidR="00AE4019" w:rsidRPr="00AE4019">
        <w:rPr>
          <w:rFonts w:hint="eastAsia"/>
        </w:rPr>
        <w:t>侵染</w:t>
      </w:r>
      <w:proofErr w:type="gramEnd"/>
      <w:r w:rsidR="00AE4019" w:rsidRPr="00AE4019">
        <w:rPr>
          <w:rFonts w:hint="eastAsia"/>
        </w:rPr>
        <w:t>叶片、果实；黄龙病虽主要通过木</w:t>
      </w:r>
      <w:proofErr w:type="gramStart"/>
      <w:r w:rsidR="00AE4019" w:rsidRPr="00AE4019">
        <w:rPr>
          <w:rFonts w:hint="eastAsia"/>
        </w:rPr>
        <w:t>虱</w:t>
      </w:r>
      <w:proofErr w:type="gramEnd"/>
      <w:r w:rsidR="00AE4019" w:rsidRPr="00AE4019">
        <w:rPr>
          <w:rFonts w:hint="eastAsia"/>
        </w:rPr>
        <w:t>传播，但病原菌孢子也可通过嫁接等途径扩散。这些孢子肉眼不可见，传统病害监测依赖“见病斑再防控”，此时病害已侵入植株体内，难以彻底防治。</w:t>
      </w:r>
      <w:r w:rsidR="00AE4019">
        <w:rPr>
          <w:rFonts w:hint="eastAsia"/>
        </w:rPr>
        <w:t>主要</w:t>
      </w:r>
      <w:r w:rsidR="00AE4019" w:rsidRPr="00AE4019">
        <w:rPr>
          <w:rFonts w:hint="eastAsia"/>
        </w:rPr>
        <w:t>参考《柑橘病害诊断与防治手册》中关于炭疽病、溃疡病等病害的孢子传播规律与监测要求，结合浦北大红柑种植实践中总结的“病害爆发与孢子浓度、温湿度密切相关”的特点，</w:t>
      </w:r>
      <w:r w:rsidR="00AE4019">
        <w:rPr>
          <w:rFonts w:hint="eastAsia"/>
        </w:rPr>
        <w:t>规定了</w:t>
      </w:r>
      <w:r w:rsidR="00EC6B51">
        <w:rPr>
          <w:rFonts w:hint="eastAsia"/>
        </w:rPr>
        <w:t>宜配备孢子捕捉仪，自动收集并监测空气中病害病原菌孢子存量及扩散动态，为病害预测提供数据。</w:t>
      </w:r>
      <w:bookmarkStart w:id="4" w:name="_GoBack"/>
      <w:bookmarkEnd w:id="4"/>
      <w:r w:rsidR="00EC6B51">
        <w:rPr>
          <w:rFonts w:hint="eastAsia"/>
        </w:rPr>
        <w:t>智能性虫情测报灯宜每</w:t>
      </w:r>
      <w:r w:rsidR="00EC6B51">
        <w:rPr>
          <w:rFonts w:hint="eastAsia"/>
        </w:rPr>
        <w:t>30</w:t>
      </w:r>
      <w:r w:rsidR="00EC6B51">
        <w:rPr>
          <w:rFonts w:hint="eastAsia"/>
        </w:rPr>
        <w:t>～</w:t>
      </w:r>
      <w:r w:rsidR="00EC6B51">
        <w:rPr>
          <w:rFonts w:hint="eastAsia"/>
        </w:rPr>
        <w:t>50</w:t>
      </w:r>
      <w:r w:rsidR="00EC6B51">
        <w:rPr>
          <w:rFonts w:hint="eastAsia"/>
        </w:rPr>
        <w:t>亩布设</w:t>
      </w:r>
      <w:r w:rsidR="00EC6B51">
        <w:rPr>
          <w:rFonts w:hint="eastAsia"/>
        </w:rPr>
        <w:t>1</w:t>
      </w:r>
      <w:r w:rsidR="00EC6B51">
        <w:rPr>
          <w:rFonts w:hint="eastAsia"/>
        </w:rPr>
        <w:t>台，安装高度为</w:t>
      </w:r>
      <w:r w:rsidR="00EC6B51">
        <w:rPr>
          <w:rFonts w:hint="eastAsia"/>
        </w:rPr>
        <w:t>1.3 m</w:t>
      </w:r>
      <w:r w:rsidR="00EC6B51">
        <w:rPr>
          <w:rFonts w:hint="eastAsia"/>
        </w:rPr>
        <w:t>～</w:t>
      </w:r>
      <w:r w:rsidR="00EC6B51">
        <w:rPr>
          <w:rFonts w:hint="eastAsia"/>
        </w:rPr>
        <w:t>1.5 m</w:t>
      </w:r>
      <w:r w:rsidR="00EC6B51">
        <w:rPr>
          <w:rFonts w:hint="eastAsia"/>
        </w:rPr>
        <w:t>。孢子捕捉仪应根据园区主导风向和历年病害发生情况，在病害传播路径上布设</w:t>
      </w:r>
      <w:r w:rsidR="00AE4019">
        <w:rPr>
          <w:rFonts w:hint="eastAsia"/>
        </w:rPr>
        <w:t>。</w:t>
      </w:r>
      <w:r w:rsidR="00A43B03">
        <w:rPr>
          <w:rFonts w:hint="eastAsia"/>
        </w:rPr>
        <w:t>且</w:t>
      </w:r>
      <w:proofErr w:type="gramStart"/>
      <w:r w:rsidR="00AE4019" w:rsidRPr="00AE4019">
        <w:rPr>
          <w:rFonts w:hint="eastAsia"/>
        </w:rPr>
        <w:t>所有四情监测</w:t>
      </w:r>
      <w:proofErr w:type="gramEnd"/>
      <w:r w:rsidR="00AE4019" w:rsidRPr="00AE4019">
        <w:rPr>
          <w:rFonts w:hint="eastAsia"/>
        </w:rPr>
        <w:t>数据应接</w:t>
      </w:r>
      <w:proofErr w:type="gramStart"/>
      <w:r w:rsidR="00AE4019" w:rsidRPr="00AE4019">
        <w:rPr>
          <w:rFonts w:hint="eastAsia"/>
        </w:rPr>
        <w:t>入统一</w:t>
      </w:r>
      <w:proofErr w:type="gramEnd"/>
      <w:r w:rsidR="00AE4019" w:rsidRPr="00AE4019">
        <w:rPr>
          <w:rFonts w:hint="eastAsia"/>
        </w:rPr>
        <w:t>的数字管理平台，实现历史数据查询、超限自动预警，并可通过图表、报表等形式进行可视化展示与分析。宜利用大数据和</w:t>
      </w:r>
      <w:r w:rsidR="00AE4019" w:rsidRPr="00AE4019">
        <w:rPr>
          <w:rFonts w:hint="eastAsia"/>
        </w:rPr>
        <w:t>AI</w:t>
      </w:r>
      <w:r w:rsidR="00AE4019" w:rsidRPr="00AE4019">
        <w:rPr>
          <w:rFonts w:hint="eastAsia"/>
        </w:rPr>
        <w:t>模型，对病虫害发生趋势进行预测。</w:t>
      </w:r>
    </w:p>
    <w:p w:rsidR="00E23C37" w:rsidRDefault="00AE4019" w:rsidP="0029607B">
      <w:pPr>
        <w:autoSpaceDE w:val="0"/>
        <w:autoSpaceDN w:val="0"/>
        <w:adjustRightInd w:val="0"/>
        <w:ind w:firstLine="640"/>
        <w:jc w:val="left"/>
      </w:pPr>
      <w:r>
        <w:rPr>
          <w:rFonts w:hint="eastAsia"/>
        </w:rPr>
        <w:t>2</w:t>
      </w:r>
      <w:r>
        <w:rPr>
          <w:rFonts w:hint="eastAsia"/>
        </w:rPr>
        <w:t>、智能水肥管理</w:t>
      </w:r>
    </w:p>
    <w:p w:rsidR="00E23C37" w:rsidRDefault="00A43B03" w:rsidP="0029607B">
      <w:pPr>
        <w:autoSpaceDE w:val="0"/>
        <w:autoSpaceDN w:val="0"/>
        <w:adjustRightInd w:val="0"/>
        <w:ind w:firstLine="640"/>
        <w:jc w:val="left"/>
      </w:pPr>
      <w:r w:rsidRPr="00A43B03">
        <w:rPr>
          <w:rFonts w:hint="eastAsia"/>
        </w:rPr>
        <w:t>浦北大红柑种植园多为丘陵山地，地块坡度差异大，传统人工施肥易出现“高处肥料流失、低处肥料堆积”的问题，肥料利</w:t>
      </w:r>
      <w:r w:rsidRPr="00A43B03">
        <w:rPr>
          <w:rFonts w:hint="eastAsia"/>
        </w:rPr>
        <w:lastRenderedPageBreak/>
        <w:t>用率仅</w:t>
      </w:r>
      <w:r w:rsidRPr="00A43B03">
        <w:rPr>
          <w:rFonts w:hint="eastAsia"/>
        </w:rPr>
        <w:t>30%-40%</w:t>
      </w:r>
      <w:r w:rsidRPr="00A43B03">
        <w:rPr>
          <w:rFonts w:hint="eastAsia"/>
        </w:rPr>
        <w:t>；灌溉时也易因地形导致水分分布不均，干旱与积水并存。水肥一体化系统通过管道输送，可无视地形差异，将水肥均匀输送至每株果树根系，肥料利用率提升至</w:t>
      </w:r>
      <w:r>
        <w:rPr>
          <w:rFonts w:hint="eastAsia"/>
        </w:rPr>
        <w:t>80%</w:t>
      </w:r>
      <w:r w:rsidRPr="00A43B03">
        <w:rPr>
          <w:rFonts w:hint="eastAsia"/>
        </w:rPr>
        <w:t>以上，水资源利用率提升</w:t>
      </w:r>
      <w:r w:rsidRPr="00A43B03">
        <w:rPr>
          <w:rFonts w:hint="eastAsia"/>
        </w:rPr>
        <w:t>40%-50%</w:t>
      </w:r>
      <w:r w:rsidRPr="00A43B03">
        <w:rPr>
          <w:rFonts w:hint="eastAsia"/>
        </w:rPr>
        <w:t>，完美适配山地种植场景，减少资源浪费与环境污染（如化肥流失导致的土壤板结、水体富营养化）。参考《柑橘栽培学》中柑橘不同生育期的营养需求规律，结合浦北大红柑多年种植实践中总结的</w:t>
      </w:r>
      <w:r w:rsidRPr="00A43B03">
        <w:rPr>
          <w:rFonts w:hint="eastAsia"/>
        </w:rPr>
        <w:t xml:space="preserve"> </w:t>
      </w:r>
      <w:r w:rsidRPr="00A43B03">
        <w:rPr>
          <w:rFonts w:hint="eastAsia"/>
        </w:rPr>
        <w:t>“萌芽期需氮、膨大期需钾、成熟期控氮”的施肥经验，</w:t>
      </w:r>
      <w:r>
        <w:rPr>
          <w:rFonts w:hint="eastAsia"/>
        </w:rPr>
        <w:t>规定</w:t>
      </w:r>
      <w:r>
        <w:rPr>
          <w:rFonts w:ascii="Arial" w:hAnsi="Arial" w:cs="Arial"/>
        </w:rPr>
        <w:t>应利用水肥一体化系统，根据大红</w:t>
      </w:r>
      <w:proofErr w:type="gramStart"/>
      <w:r>
        <w:rPr>
          <w:rFonts w:ascii="Arial" w:hAnsi="Arial" w:cs="Arial"/>
        </w:rPr>
        <w:t>柑</w:t>
      </w:r>
      <w:proofErr w:type="gramEnd"/>
      <w:r>
        <w:rPr>
          <w:rFonts w:ascii="Arial" w:hAnsi="Arial" w:cs="Arial"/>
        </w:rPr>
        <w:t>不同生育阶段的营养需求，实现水肥的精准配比与按需施用</w:t>
      </w:r>
      <w:r>
        <w:rPr>
          <w:rFonts w:ascii="Arial" w:hAnsi="Arial" w:cs="Arial" w:hint="eastAsia"/>
        </w:rPr>
        <w:t>。</w:t>
      </w:r>
    </w:p>
    <w:p w:rsidR="00A43B03" w:rsidRPr="00545F2C" w:rsidRDefault="00A43B03" w:rsidP="00545F2C">
      <w:pPr>
        <w:autoSpaceDE w:val="0"/>
        <w:autoSpaceDN w:val="0"/>
        <w:adjustRightInd w:val="0"/>
        <w:ind w:firstLine="640"/>
        <w:jc w:val="left"/>
      </w:pPr>
      <w:r w:rsidRPr="00A43B03">
        <w:rPr>
          <w:rFonts w:hint="eastAsia"/>
        </w:rPr>
        <w:t>灌溉液</w:t>
      </w:r>
      <w:r w:rsidRPr="00A43B03">
        <w:rPr>
          <w:rFonts w:hint="eastAsia"/>
        </w:rPr>
        <w:t>EC</w:t>
      </w:r>
      <w:r w:rsidRPr="00A43B03">
        <w:rPr>
          <w:rFonts w:hint="eastAsia"/>
        </w:rPr>
        <w:t>值反映养分浓度（过高易导致根系盐渍化灼伤，过低则养分不足），</w:t>
      </w:r>
      <w:r w:rsidRPr="00A43B03">
        <w:rPr>
          <w:rFonts w:hint="eastAsia"/>
        </w:rPr>
        <w:t>pH</w:t>
      </w:r>
      <w:r w:rsidRPr="00A43B03">
        <w:rPr>
          <w:rFonts w:hint="eastAsia"/>
        </w:rPr>
        <w:t>值影响养分吸收（大红</w:t>
      </w:r>
      <w:proofErr w:type="gramStart"/>
      <w:r w:rsidRPr="00A43B03">
        <w:rPr>
          <w:rFonts w:hint="eastAsia"/>
        </w:rPr>
        <w:t>柑</w:t>
      </w:r>
      <w:proofErr w:type="gramEnd"/>
      <w:r w:rsidRPr="00A43B03">
        <w:rPr>
          <w:rFonts w:hint="eastAsia"/>
        </w:rPr>
        <w:t>适宜</w:t>
      </w:r>
      <w:r w:rsidRPr="00A43B03">
        <w:rPr>
          <w:rFonts w:hint="eastAsia"/>
        </w:rPr>
        <w:t>pH</w:t>
      </w:r>
      <w:r w:rsidRPr="00A43B03">
        <w:rPr>
          <w:rFonts w:hint="eastAsia"/>
        </w:rPr>
        <w:t>值</w:t>
      </w:r>
      <w:r w:rsidRPr="00A43B03">
        <w:rPr>
          <w:rFonts w:hint="eastAsia"/>
        </w:rPr>
        <w:t>5.5-6.5</w:t>
      </w:r>
      <w:r w:rsidRPr="00A43B03">
        <w:rPr>
          <w:rFonts w:hint="eastAsia"/>
        </w:rPr>
        <w:t>，偏离则磷、铁等元素吸收受阻）。实时监控</w:t>
      </w:r>
      <w:r w:rsidRPr="00A43B03">
        <w:rPr>
          <w:rFonts w:hint="eastAsia"/>
        </w:rPr>
        <w:t>EC</w:t>
      </w:r>
      <w:r w:rsidRPr="00A43B03">
        <w:rPr>
          <w:rFonts w:hint="eastAsia"/>
        </w:rPr>
        <w:t>值与</w:t>
      </w:r>
      <w:r w:rsidRPr="00A43B03">
        <w:rPr>
          <w:rFonts w:hint="eastAsia"/>
        </w:rPr>
        <w:t>pH</w:t>
      </w:r>
      <w:r w:rsidRPr="00A43B03">
        <w:rPr>
          <w:rFonts w:hint="eastAsia"/>
        </w:rPr>
        <w:t>值，可及时发现异常（如</w:t>
      </w:r>
      <w:r w:rsidRPr="00A43B03">
        <w:rPr>
          <w:rFonts w:hint="eastAsia"/>
        </w:rPr>
        <w:t>EC</w:t>
      </w:r>
      <w:r w:rsidRPr="00A43B03">
        <w:rPr>
          <w:rFonts w:hint="eastAsia"/>
        </w:rPr>
        <w:t>值骤升可能是肥料溶解不均），并自动调整（如添加酸液调节</w:t>
      </w:r>
      <w:r>
        <w:rPr>
          <w:rFonts w:hint="eastAsia"/>
        </w:rPr>
        <w:t>pH</w:t>
      </w:r>
      <w:r w:rsidRPr="00A43B03">
        <w:rPr>
          <w:rFonts w:hint="eastAsia"/>
        </w:rPr>
        <w:t>值），避免根系损伤或养分吸收障碍</w:t>
      </w:r>
      <w:r>
        <w:rPr>
          <w:rFonts w:hint="eastAsia"/>
        </w:rPr>
        <w:t>。</w:t>
      </w:r>
      <w:r w:rsidRPr="00A43B03">
        <w:rPr>
          <w:rFonts w:hint="eastAsia"/>
        </w:rPr>
        <w:t>结合浦北大红柑智慧种植园</w:t>
      </w:r>
      <w:r w:rsidRPr="00A43B03">
        <w:rPr>
          <w:rFonts w:hint="eastAsia"/>
        </w:rPr>
        <w:t xml:space="preserve"> </w:t>
      </w:r>
      <w:r w:rsidRPr="00A43B03">
        <w:rPr>
          <w:rFonts w:hint="eastAsia"/>
        </w:rPr>
        <w:t>“数字化、精细化”</w:t>
      </w:r>
      <w:r w:rsidRPr="00A43B03">
        <w:rPr>
          <w:rFonts w:hint="eastAsia"/>
        </w:rPr>
        <w:t xml:space="preserve"> </w:t>
      </w:r>
      <w:r w:rsidRPr="00A43B03">
        <w:rPr>
          <w:rFonts w:hint="eastAsia"/>
        </w:rPr>
        <w:t>的定位</w:t>
      </w:r>
      <w:r>
        <w:rPr>
          <w:rFonts w:hint="eastAsia"/>
        </w:rPr>
        <w:t>，</w:t>
      </w:r>
      <w:r w:rsidRPr="00545F2C">
        <w:rPr>
          <w:rFonts w:hint="eastAsia"/>
          <w:b/>
        </w:rPr>
        <w:t>规定了</w:t>
      </w:r>
      <w:r w:rsidRPr="00545F2C">
        <w:rPr>
          <w:rFonts w:ascii="Arial" w:hAnsi="Arial" w:cs="Arial"/>
          <w:b/>
        </w:rPr>
        <w:t>系统应能实时监控并记录灌溉液的</w:t>
      </w:r>
      <w:r w:rsidRPr="00545F2C">
        <w:rPr>
          <w:rFonts w:ascii="Arial" w:hAnsi="Arial" w:cs="Arial"/>
          <w:b/>
        </w:rPr>
        <w:t>EC</w:t>
      </w:r>
      <w:r w:rsidRPr="00545F2C">
        <w:rPr>
          <w:rFonts w:ascii="Arial" w:hAnsi="Arial" w:cs="Arial"/>
          <w:b/>
        </w:rPr>
        <w:t>值、</w:t>
      </w:r>
      <w:r w:rsidRPr="00545F2C">
        <w:rPr>
          <w:rFonts w:ascii="Arial" w:hAnsi="Arial" w:cs="Arial"/>
          <w:b/>
        </w:rPr>
        <w:t>pH</w:t>
      </w:r>
      <w:r w:rsidRPr="00545F2C">
        <w:rPr>
          <w:rFonts w:ascii="Arial" w:hAnsi="Arial" w:cs="Arial"/>
          <w:b/>
        </w:rPr>
        <w:t>值、灌溉量、施肥量及作业时间等数据，并自动归档</w:t>
      </w:r>
      <w:r w:rsidR="00545F2C">
        <w:rPr>
          <w:rFonts w:ascii="Arial" w:hAnsi="Arial" w:cs="Arial" w:hint="eastAsia"/>
        </w:rPr>
        <w:t>。</w:t>
      </w:r>
      <w:r w:rsidR="00545F2C">
        <w:rPr>
          <w:rFonts w:hint="eastAsia"/>
        </w:rPr>
        <w:t>同时，</w:t>
      </w:r>
      <w:r w:rsidR="00545F2C" w:rsidRPr="00E23C37">
        <w:rPr>
          <w:rFonts w:hint="eastAsia"/>
        </w:rPr>
        <w:t>参考《柑橘优质高产栽培技术规程》（</w:t>
      </w:r>
      <w:r w:rsidR="00545F2C" w:rsidRPr="00E23C37">
        <w:rPr>
          <w:rFonts w:hint="eastAsia"/>
        </w:rPr>
        <w:t>DB45/T 2389-2021</w:t>
      </w:r>
      <w:r w:rsidR="00545F2C" w:rsidRPr="00E23C37">
        <w:rPr>
          <w:rFonts w:hint="eastAsia"/>
        </w:rPr>
        <w:t>）中关于柑橘冠层湿度需求、根系分布与水肥供给的技术要求，结合浦北大红柑“花期需高湿、根系分层吸收”的特性，确定分层灌溉设计</w:t>
      </w:r>
      <w:r w:rsidR="00545F2C">
        <w:rPr>
          <w:rFonts w:hint="eastAsia"/>
        </w:rPr>
        <w:t>。</w:t>
      </w:r>
      <w:r w:rsidR="00545F2C" w:rsidRPr="00E23C37">
        <w:rPr>
          <w:rFonts w:hint="eastAsia"/>
        </w:rPr>
        <w:t>大红</w:t>
      </w:r>
      <w:proofErr w:type="gramStart"/>
      <w:r w:rsidR="00545F2C" w:rsidRPr="00E23C37">
        <w:rPr>
          <w:rFonts w:hint="eastAsia"/>
        </w:rPr>
        <w:t>柑</w:t>
      </w:r>
      <w:proofErr w:type="gramEnd"/>
      <w:r w:rsidR="00545F2C" w:rsidRPr="00E23C37">
        <w:rPr>
          <w:rFonts w:hint="eastAsia"/>
        </w:rPr>
        <w:t>花期（</w:t>
      </w:r>
      <w:r w:rsidR="00545F2C">
        <w:rPr>
          <w:rFonts w:hint="eastAsia"/>
        </w:rPr>
        <w:t>2-3</w:t>
      </w:r>
      <w:r w:rsidR="00545F2C" w:rsidRPr="00E23C37">
        <w:rPr>
          <w:rFonts w:hint="eastAsia"/>
        </w:rPr>
        <w:t>月）需保持树冠周围空气湿度（</w:t>
      </w:r>
      <w:r w:rsidR="00545F2C" w:rsidRPr="00E23C37">
        <w:rPr>
          <w:rFonts w:hint="eastAsia"/>
        </w:rPr>
        <w:t>65%-75%</w:t>
      </w:r>
      <w:r w:rsidR="00545F2C" w:rsidRPr="00E23C37">
        <w:rPr>
          <w:rFonts w:hint="eastAsia"/>
        </w:rPr>
        <w:t>），以提高花粉活力和坐果率；夏季高温时（</w:t>
      </w:r>
      <w:proofErr w:type="gramStart"/>
      <w:r w:rsidR="00545F2C" w:rsidRPr="00E23C37">
        <w:rPr>
          <w:rFonts w:hint="eastAsia"/>
        </w:rPr>
        <w:t>气温超</w:t>
      </w:r>
      <w:proofErr w:type="gramEnd"/>
      <w:r w:rsidR="00545F2C" w:rsidRPr="00E23C37">
        <w:rPr>
          <w:rFonts w:hint="eastAsia"/>
        </w:rPr>
        <w:t>30</w:t>
      </w:r>
      <w:r w:rsidR="00545F2C" w:rsidRPr="00E23C37">
        <w:rPr>
          <w:rFonts w:hint="eastAsia"/>
        </w:rPr>
        <w:t>℃），树冠易受强光灼伤，微喷头可</w:t>
      </w:r>
      <w:r w:rsidR="00545F2C" w:rsidRPr="00E23C37">
        <w:rPr>
          <w:rFonts w:hint="eastAsia"/>
        </w:rPr>
        <w:lastRenderedPageBreak/>
        <w:t>通过雾化喷水降低冠层温度、增加湿度，避免叶片和果实灼伤。若仅依赖根系灌溉，无法满足冠层对空气湿度的需求，易导致花期坐果率低、夏季果实灼伤；</w:t>
      </w:r>
      <w:r w:rsidR="00545F2C">
        <w:rPr>
          <w:rFonts w:hint="eastAsia"/>
        </w:rPr>
        <w:t>而</w:t>
      </w:r>
      <w:r w:rsidR="00545F2C" w:rsidRPr="00E23C37">
        <w:rPr>
          <w:rFonts w:hint="eastAsia"/>
        </w:rPr>
        <w:t>根系是水分和养分的主要吸收部位，中层（</w:t>
      </w:r>
      <w:r w:rsidR="00545F2C" w:rsidRPr="00E23C37">
        <w:rPr>
          <w:rFonts w:hint="eastAsia"/>
        </w:rPr>
        <w:t>20-40cm</w:t>
      </w:r>
      <w:r w:rsidR="00545F2C" w:rsidRPr="00E23C37">
        <w:rPr>
          <w:rFonts w:hint="eastAsia"/>
        </w:rPr>
        <w:t>）根系吸收能力最强，下层（</w:t>
      </w:r>
      <w:r w:rsidR="00545F2C" w:rsidRPr="00E23C37">
        <w:rPr>
          <w:rFonts w:hint="eastAsia"/>
        </w:rPr>
        <w:t>40-60cm</w:t>
      </w:r>
      <w:r w:rsidR="00545F2C" w:rsidRPr="00E23C37">
        <w:rPr>
          <w:rFonts w:hint="eastAsia"/>
        </w:rPr>
        <w:t>）根系负责吸收深层水分以应对干旱。</w:t>
      </w:r>
      <w:proofErr w:type="gramStart"/>
      <w:r w:rsidR="00545F2C" w:rsidRPr="00E23C37">
        <w:rPr>
          <w:rFonts w:hint="eastAsia"/>
        </w:rPr>
        <w:t>滴灌头</w:t>
      </w:r>
      <w:proofErr w:type="gramEnd"/>
      <w:r w:rsidR="00545F2C" w:rsidRPr="00E23C37">
        <w:rPr>
          <w:rFonts w:hint="eastAsia"/>
        </w:rPr>
        <w:t>可将水分和水肥直接输送至根系区，避免“大水漫灌”导致的土壤板结和养分流失，水肥利用率比传统灌溉提升</w:t>
      </w:r>
      <w:r w:rsidR="00545F2C" w:rsidRPr="00E23C37">
        <w:rPr>
          <w:rFonts w:hint="eastAsia"/>
        </w:rPr>
        <w:t>40%-50%</w:t>
      </w:r>
      <w:r w:rsidR="00545F2C">
        <w:rPr>
          <w:rFonts w:hint="eastAsia"/>
        </w:rPr>
        <w:t>，同时满足不同土层根系的吸收需求，</w:t>
      </w:r>
      <w:r w:rsidR="00545F2C" w:rsidRPr="00E23C37">
        <w:rPr>
          <w:rFonts w:hint="eastAsia"/>
          <w:b/>
        </w:rPr>
        <w:t>因此，规定上层（树冠）配置微喷头；中层、下层（根系区）布置滴灌头。</w:t>
      </w:r>
      <w:r w:rsidR="00545F2C">
        <w:rPr>
          <w:rFonts w:hint="eastAsia"/>
        </w:rPr>
        <w:t>此外，</w:t>
      </w:r>
      <w:r w:rsidR="00545F2C" w:rsidRPr="00E23C37">
        <w:rPr>
          <w:rFonts w:hint="eastAsia"/>
        </w:rPr>
        <w:t>依据《微灌工程技术规范》（</w:t>
      </w:r>
      <w:r w:rsidR="00545F2C" w:rsidRPr="00E23C37">
        <w:rPr>
          <w:rFonts w:hint="eastAsia"/>
        </w:rPr>
        <w:t>GB/T 50485-2023</w:t>
      </w:r>
      <w:r w:rsidR="00545F2C" w:rsidRPr="00E23C37">
        <w:rPr>
          <w:rFonts w:hint="eastAsia"/>
        </w:rPr>
        <w:t>）中“丘陵山地微灌系统管道应沿等高线铺设，支管间距、滴头间距应根据作物种类和树龄调整”的要求，</w:t>
      </w:r>
      <w:r w:rsidR="00545F2C" w:rsidRPr="00E23C37">
        <w:rPr>
          <w:rFonts w:hint="eastAsia"/>
          <w:b/>
        </w:rPr>
        <w:t>结合浦北大红柑种植园丘陵地形实际，规定了主管道沿等高线铺设，支管间距宜为</w:t>
      </w:r>
      <w:r w:rsidR="00545F2C" w:rsidRPr="00E23C37">
        <w:rPr>
          <w:rFonts w:hint="eastAsia"/>
          <w:b/>
        </w:rPr>
        <w:t>15</w:t>
      </w:r>
      <w:r w:rsidR="00545F2C" w:rsidRPr="00E23C37">
        <w:rPr>
          <w:rFonts w:hint="eastAsia"/>
          <w:b/>
          <w:vertAlign w:val="subscript"/>
        </w:rPr>
        <w:t xml:space="preserve"> </w:t>
      </w:r>
      <w:r w:rsidR="00545F2C" w:rsidRPr="00E23C37">
        <w:rPr>
          <w:rFonts w:hint="eastAsia"/>
          <w:b/>
        </w:rPr>
        <w:t>m</w:t>
      </w:r>
      <w:r w:rsidR="00545F2C" w:rsidRPr="00E23C37">
        <w:rPr>
          <w:rFonts w:hint="eastAsia"/>
          <w:b/>
        </w:rPr>
        <w:t>～</w:t>
      </w:r>
      <w:r w:rsidR="00545F2C" w:rsidRPr="00E23C37">
        <w:rPr>
          <w:rFonts w:hint="eastAsia"/>
          <w:b/>
        </w:rPr>
        <w:t>20</w:t>
      </w:r>
      <w:r w:rsidR="00545F2C" w:rsidRPr="00E23C37">
        <w:rPr>
          <w:rFonts w:hint="eastAsia"/>
          <w:b/>
          <w:vertAlign w:val="subscript"/>
        </w:rPr>
        <w:t xml:space="preserve"> </w:t>
      </w:r>
      <w:r w:rsidR="00545F2C" w:rsidRPr="00E23C37">
        <w:rPr>
          <w:rFonts w:hint="eastAsia"/>
          <w:b/>
        </w:rPr>
        <w:t>m</w:t>
      </w:r>
      <w:r w:rsidR="00545F2C" w:rsidRPr="00E23C37">
        <w:rPr>
          <w:rFonts w:hint="eastAsia"/>
          <w:b/>
        </w:rPr>
        <w:t>，</w:t>
      </w:r>
      <w:proofErr w:type="gramStart"/>
      <w:r w:rsidR="00545F2C" w:rsidRPr="00E23C37">
        <w:rPr>
          <w:rFonts w:hint="eastAsia"/>
          <w:b/>
        </w:rPr>
        <w:t>滴头管间距</w:t>
      </w:r>
      <w:proofErr w:type="gramEnd"/>
      <w:r w:rsidR="00545F2C" w:rsidRPr="00E23C37">
        <w:rPr>
          <w:rFonts w:hint="eastAsia"/>
          <w:b/>
        </w:rPr>
        <w:t>应根据树龄调整</w:t>
      </w:r>
      <w:r w:rsidR="00545F2C">
        <w:rPr>
          <w:rFonts w:hint="eastAsia"/>
          <w:b/>
        </w:rPr>
        <w:t>。</w:t>
      </w:r>
      <w:r>
        <w:rPr>
          <w:rFonts w:ascii="Arial" w:hAnsi="Arial" w:cs="Arial"/>
        </w:rPr>
        <w:t>水肥一体化系统的维护应按</w:t>
      </w:r>
      <w:r>
        <w:rPr>
          <w:rFonts w:ascii="Arial" w:hAnsi="Arial" w:cs="Arial"/>
        </w:rPr>
        <w:t>NY/T 2623</w:t>
      </w:r>
      <w:r>
        <w:rPr>
          <w:rFonts w:ascii="Arial" w:hAnsi="Arial" w:cs="Arial"/>
        </w:rPr>
        <w:t>的规定执行</w:t>
      </w:r>
      <w:r>
        <w:rPr>
          <w:rFonts w:ascii="Arial" w:hAnsi="Arial" w:cs="Arial" w:hint="eastAsia"/>
        </w:rPr>
        <w:t>。</w:t>
      </w:r>
    </w:p>
    <w:p w:rsidR="00A43B03" w:rsidRDefault="00A43B03" w:rsidP="0029607B">
      <w:pPr>
        <w:autoSpaceDE w:val="0"/>
        <w:autoSpaceDN w:val="0"/>
        <w:adjustRightInd w:val="0"/>
        <w:ind w:firstLine="640"/>
        <w:jc w:val="left"/>
      </w:pPr>
      <w:r>
        <w:rPr>
          <w:rFonts w:hint="eastAsia"/>
        </w:rPr>
        <w:t>3</w:t>
      </w:r>
      <w:r>
        <w:rPr>
          <w:rFonts w:hint="eastAsia"/>
        </w:rPr>
        <w:t>、病虫害绿色防控</w:t>
      </w:r>
    </w:p>
    <w:p w:rsidR="00A43B03" w:rsidRPr="00A43B03" w:rsidRDefault="00A43B03" w:rsidP="00904A51">
      <w:pPr>
        <w:autoSpaceDE w:val="0"/>
        <w:autoSpaceDN w:val="0"/>
        <w:adjustRightInd w:val="0"/>
        <w:ind w:firstLine="640"/>
      </w:pPr>
      <w:r w:rsidRPr="00A43B03">
        <w:rPr>
          <w:rFonts w:hint="eastAsia"/>
        </w:rPr>
        <w:t>浦北大红柑病虫害具有“季节性爆发、连锁传播”特点——春季（</w:t>
      </w:r>
      <w:r w:rsidRPr="00A43B03">
        <w:rPr>
          <w:rFonts w:hint="eastAsia"/>
        </w:rPr>
        <w:t>2-4</w:t>
      </w:r>
      <w:r w:rsidRPr="00A43B03">
        <w:rPr>
          <w:rFonts w:hint="eastAsia"/>
        </w:rPr>
        <w:t>月）易爆发红蜘蛛、炭疽病，夏季（</w:t>
      </w:r>
      <w:r w:rsidRPr="00A43B03">
        <w:rPr>
          <w:rFonts w:hint="eastAsia"/>
        </w:rPr>
        <w:t>5-8</w:t>
      </w:r>
      <w:r w:rsidRPr="00A43B03">
        <w:rPr>
          <w:rFonts w:hint="eastAsia"/>
        </w:rPr>
        <w:t>月）潜叶蛾、溃疡病高发，秋季（</w:t>
      </w:r>
      <w:r w:rsidRPr="00A43B03">
        <w:rPr>
          <w:rFonts w:hint="eastAsia"/>
        </w:rPr>
        <w:t>9-11</w:t>
      </w:r>
      <w:r w:rsidRPr="00A43B03">
        <w:rPr>
          <w:rFonts w:hint="eastAsia"/>
        </w:rPr>
        <w:t>月）需防范木</w:t>
      </w:r>
      <w:proofErr w:type="gramStart"/>
      <w:r w:rsidRPr="00A43B03">
        <w:rPr>
          <w:rFonts w:hint="eastAsia"/>
        </w:rPr>
        <w:t>虱</w:t>
      </w:r>
      <w:proofErr w:type="gramEnd"/>
      <w:r w:rsidRPr="00A43B03">
        <w:rPr>
          <w:rFonts w:hint="eastAsia"/>
        </w:rPr>
        <w:t>（传播黄龙病）。传统“见病打药、见虫施药”的被动防控模式，易错过最佳防治时机（如红蜘蛛卵期未防控，成虫爆发后难以根治）。“预防为主”原则要求结合病虫害监测数据（如孢子浓度、虫口密度）提前干预（如萌芽前喷施保护性杀菌剂），可将病虫害发生率降低</w:t>
      </w:r>
      <w:r w:rsidRPr="00A43B03">
        <w:rPr>
          <w:rFonts w:hint="eastAsia"/>
        </w:rPr>
        <w:lastRenderedPageBreak/>
        <w:t>40%-60%</w:t>
      </w:r>
      <w:r w:rsidRPr="00A43B03">
        <w:rPr>
          <w:rFonts w:hint="eastAsia"/>
        </w:rPr>
        <w:t>，减少后期防控压力；“综合防治”则通过农业（如修剪病枝）、物理（如杀虫灯诱杀）、生物（如释放捕食</w:t>
      </w:r>
      <w:proofErr w:type="gramStart"/>
      <w:r w:rsidRPr="00A43B03">
        <w:rPr>
          <w:rFonts w:hint="eastAsia"/>
        </w:rPr>
        <w:t>螨</w:t>
      </w:r>
      <w:proofErr w:type="gramEnd"/>
      <w:r w:rsidRPr="00A43B03">
        <w:rPr>
          <w:rFonts w:hint="eastAsia"/>
        </w:rPr>
        <w:t>）、化学（如精准施药）措施协同发力，避免单一依赖化学农药导致的抗药性问题。</w:t>
      </w:r>
      <w:r w:rsidR="00904A51" w:rsidRPr="00904A51">
        <w:rPr>
          <w:rFonts w:hint="eastAsia"/>
        </w:rPr>
        <w:t>参考《柑橘主要病虫害综合防治技术规范》（</w:t>
      </w:r>
      <w:r w:rsidR="00904A51" w:rsidRPr="00904A51">
        <w:rPr>
          <w:rFonts w:hint="eastAsia"/>
        </w:rPr>
        <w:t>NY/T</w:t>
      </w:r>
      <w:r w:rsidR="00904A51">
        <w:rPr>
          <w:rFonts w:hint="eastAsia"/>
        </w:rPr>
        <w:t xml:space="preserve"> </w:t>
      </w:r>
      <w:r w:rsidR="00904A51" w:rsidRPr="00904A51">
        <w:rPr>
          <w:rFonts w:hint="eastAsia"/>
        </w:rPr>
        <w:t>3250-2018</w:t>
      </w:r>
      <w:r w:rsidR="00904A51" w:rsidRPr="00904A51">
        <w:rPr>
          <w:rFonts w:hint="eastAsia"/>
        </w:rPr>
        <w:t>）中“预防为主、综合防治”的核心原则，结合浦北大红柑病虫害“季节性、连锁性”的发生特点，确定综合防控的技术方向</w:t>
      </w:r>
      <w:r w:rsidR="00904A51">
        <w:rPr>
          <w:rFonts w:hint="eastAsia"/>
        </w:rPr>
        <w:t>，规定</w:t>
      </w:r>
      <w:r w:rsidR="00904A51">
        <w:rPr>
          <w:rFonts w:ascii="Arial" w:hAnsi="Arial" w:cs="Arial"/>
        </w:rPr>
        <w:t>应坚持</w:t>
      </w:r>
      <w:r w:rsidR="00904A51">
        <w:rPr>
          <w:rFonts w:ascii="Arial" w:hAnsi="Arial" w:cs="Arial"/>
        </w:rPr>
        <w:t>“</w:t>
      </w:r>
      <w:r w:rsidR="00904A51">
        <w:rPr>
          <w:rFonts w:ascii="Arial" w:hAnsi="Arial" w:cs="Arial"/>
        </w:rPr>
        <w:t>预防为主、综合防治</w:t>
      </w:r>
      <w:r w:rsidR="00904A51">
        <w:rPr>
          <w:rFonts w:ascii="Arial" w:hAnsi="Arial" w:cs="Arial"/>
        </w:rPr>
        <w:t>”</w:t>
      </w:r>
      <w:r w:rsidR="00904A51">
        <w:rPr>
          <w:rFonts w:ascii="Arial" w:hAnsi="Arial" w:cs="Arial"/>
        </w:rPr>
        <w:t>的原则，采用农业、物理、生物和化学等综合防治措施，农药使用按</w:t>
      </w:r>
      <w:r w:rsidR="00904A51">
        <w:rPr>
          <w:rFonts w:ascii="Arial" w:hAnsi="Arial" w:cs="Arial"/>
        </w:rPr>
        <w:t>GB/T</w:t>
      </w:r>
      <w:r w:rsidR="00904A51">
        <w:rPr>
          <w:rFonts w:ascii="Arial" w:hAnsi="Arial" w:cs="Arial" w:hint="eastAsia"/>
        </w:rPr>
        <w:t xml:space="preserve"> </w:t>
      </w:r>
      <w:r w:rsidR="00904A51">
        <w:rPr>
          <w:rFonts w:ascii="Arial" w:hAnsi="Arial" w:cs="Arial"/>
        </w:rPr>
        <w:t>8321</w:t>
      </w:r>
      <w:r w:rsidR="00904A51">
        <w:rPr>
          <w:rFonts w:ascii="Arial" w:hAnsi="Arial" w:cs="Arial"/>
        </w:rPr>
        <w:t>（所有部分）的规定执行</w:t>
      </w:r>
      <w:r w:rsidR="00904A51">
        <w:rPr>
          <w:rFonts w:ascii="Arial" w:hAnsi="Arial" w:cs="Arial" w:hint="eastAsia"/>
        </w:rPr>
        <w:t>。同时</w:t>
      </w:r>
      <w:r w:rsidR="00904A51" w:rsidRPr="00904A51">
        <w:rPr>
          <w:rFonts w:ascii="Arial" w:hAnsi="Arial" w:cs="Arial" w:hint="eastAsia"/>
        </w:rPr>
        <w:t>参考《农作物病虫害绿色防控技术导则》（</w:t>
      </w:r>
      <w:r w:rsidR="00904A51" w:rsidRPr="00904A51">
        <w:rPr>
          <w:rFonts w:ascii="Arial" w:hAnsi="Arial" w:cs="Arial" w:hint="eastAsia"/>
        </w:rPr>
        <w:t>NY/T</w:t>
      </w:r>
      <w:r w:rsidR="00904A51">
        <w:rPr>
          <w:rFonts w:ascii="Arial" w:hAnsi="Arial" w:cs="Arial" w:hint="eastAsia"/>
        </w:rPr>
        <w:t xml:space="preserve"> </w:t>
      </w:r>
      <w:r w:rsidR="00904A51" w:rsidRPr="00904A51">
        <w:rPr>
          <w:rFonts w:ascii="Arial" w:hAnsi="Arial" w:cs="Arial" w:hint="eastAsia"/>
        </w:rPr>
        <w:t>3252-2018</w:t>
      </w:r>
      <w:r w:rsidR="00904A51" w:rsidRPr="00904A51">
        <w:rPr>
          <w:rFonts w:ascii="Arial" w:hAnsi="Arial" w:cs="Arial" w:hint="eastAsia"/>
        </w:rPr>
        <w:t>）中“绿色防控应与监测预警相结合，实现精准防控”的要求，结合浦北大红柑“花期敏感、需优先绿色防控”的特性，</w:t>
      </w:r>
      <w:r w:rsidR="00904A51">
        <w:rPr>
          <w:rFonts w:ascii="Arial" w:hAnsi="Arial" w:cs="Arial" w:hint="eastAsia"/>
        </w:rPr>
        <w:t>规定</w:t>
      </w:r>
      <w:r w:rsidR="00904A51" w:rsidRPr="00904A51">
        <w:rPr>
          <w:rFonts w:ascii="Arial" w:hAnsi="Arial" w:cs="Arial" w:hint="eastAsia"/>
        </w:rPr>
        <w:t>应将病虫害监测系统与杀虫灯、粘虫板等绿色防控设施的管理相结合，推行病虫害绿色防控技术；参考《农药精准施用技术规范》（</w:t>
      </w:r>
      <w:r w:rsidR="00904A51" w:rsidRPr="00904A51">
        <w:rPr>
          <w:rFonts w:ascii="Arial" w:hAnsi="Arial" w:cs="Arial" w:hint="eastAsia"/>
        </w:rPr>
        <w:t>NY/T</w:t>
      </w:r>
      <w:r w:rsidR="00904A51">
        <w:rPr>
          <w:rFonts w:ascii="Arial" w:hAnsi="Arial" w:cs="Arial" w:hint="eastAsia"/>
        </w:rPr>
        <w:t xml:space="preserve"> </w:t>
      </w:r>
      <w:r w:rsidR="00904A51" w:rsidRPr="00904A51">
        <w:rPr>
          <w:rFonts w:ascii="Arial" w:hAnsi="Arial" w:cs="Arial" w:hint="eastAsia"/>
        </w:rPr>
        <w:t>3552-2020</w:t>
      </w:r>
      <w:r w:rsidR="00904A51" w:rsidRPr="00904A51">
        <w:rPr>
          <w:rFonts w:ascii="Arial" w:hAnsi="Arial" w:cs="Arial" w:hint="eastAsia"/>
        </w:rPr>
        <w:t>）中“应基于病虫害监测数据，确定施药区域与剂量，实现精准施用”的要求，结合浦北大红柑“叶片茂密、需均匀施药”的特性</w:t>
      </w:r>
      <w:r w:rsidR="00904A51">
        <w:rPr>
          <w:rFonts w:ascii="Arial" w:hAnsi="Arial" w:cs="Arial" w:hint="eastAsia"/>
        </w:rPr>
        <w:t>，且</w:t>
      </w:r>
      <w:r w:rsidR="00904A51" w:rsidRPr="00904A51">
        <w:rPr>
          <w:rFonts w:ascii="Arial" w:hAnsi="Arial" w:cs="Arial" w:hint="eastAsia"/>
        </w:rPr>
        <w:t>基于浦北大红柑种植园丘陵山地“人工施药难”</w:t>
      </w:r>
      <w:r w:rsidR="00904A51">
        <w:rPr>
          <w:rFonts w:ascii="Arial" w:hAnsi="Arial" w:cs="Arial" w:hint="eastAsia"/>
        </w:rPr>
        <w:t>的实际痛点</w:t>
      </w:r>
      <w:r w:rsidR="00904A51" w:rsidRPr="00904A51">
        <w:rPr>
          <w:rFonts w:ascii="Arial" w:hAnsi="Arial" w:cs="Arial" w:hint="eastAsia"/>
        </w:rPr>
        <w:t>，</w:t>
      </w:r>
      <w:r w:rsidR="00904A51">
        <w:rPr>
          <w:rFonts w:ascii="Arial" w:hAnsi="Arial" w:cs="Arial" w:hint="eastAsia"/>
        </w:rPr>
        <w:t>规定了</w:t>
      </w:r>
      <w:r w:rsidR="00904A51" w:rsidRPr="00904A51">
        <w:rPr>
          <w:rFonts w:ascii="Arial" w:hAnsi="Arial" w:cs="Arial" w:hint="eastAsia"/>
        </w:rPr>
        <w:t>基于病虫害监测系统的预警信息，应能施用无人</w:t>
      </w:r>
      <w:proofErr w:type="gramStart"/>
      <w:r w:rsidR="00904A51" w:rsidRPr="00904A51">
        <w:rPr>
          <w:rFonts w:ascii="Arial" w:hAnsi="Arial" w:cs="Arial" w:hint="eastAsia"/>
        </w:rPr>
        <w:t>植保机</w:t>
      </w:r>
      <w:proofErr w:type="gramEnd"/>
      <w:r w:rsidR="00904A51" w:rsidRPr="00904A51">
        <w:rPr>
          <w:rFonts w:ascii="Arial" w:hAnsi="Arial" w:cs="Arial" w:hint="eastAsia"/>
        </w:rPr>
        <w:t>或无人车实现精准施药。</w:t>
      </w:r>
    </w:p>
    <w:p w:rsidR="00A70F4F" w:rsidRDefault="00EF19E3" w:rsidP="00EF19E3">
      <w:pPr>
        <w:autoSpaceDE w:val="0"/>
        <w:autoSpaceDN w:val="0"/>
        <w:adjustRightInd w:val="0"/>
        <w:ind w:firstLine="643"/>
        <w:jc w:val="left"/>
        <w:rPr>
          <w:rFonts w:ascii="仿宋_GB2312" w:hAnsi="仿宋_GB2312" w:cs="仿宋_GB2312"/>
          <w:b/>
          <w:bCs/>
          <w:szCs w:val="32"/>
        </w:rPr>
      </w:pPr>
      <w:r>
        <w:rPr>
          <w:rFonts w:ascii="仿宋_GB2312" w:hAnsi="仿宋_GB2312" w:cs="仿宋_GB2312" w:hint="eastAsia"/>
          <w:b/>
          <w:bCs/>
          <w:szCs w:val="32"/>
        </w:rPr>
        <w:t>(</w:t>
      </w:r>
      <w:r w:rsidR="00E86B52">
        <w:rPr>
          <w:rFonts w:ascii="仿宋_GB2312" w:hAnsi="仿宋_GB2312" w:cs="仿宋_GB2312" w:hint="eastAsia"/>
          <w:b/>
          <w:bCs/>
          <w:szCs w:val="32"/>
        </w:rPr>
        <w:t>五</w:t>
      </w:r>
      <w:r>
        <w:rPr>
          <w:rFonts w:ascii="仿宋_GB2312" w:hAnsi="仿宋_GB2312" w:cs="仿宋_GB2312" w:hint="eastAsia"/>
          <w:b/>
          <w:bCs/>
          <w:szCs w:val="32"/>
        </w:rPr>
        <w:t>）</w:t>
      </w:r>
      <w:r w:rsidR="00E86B52" w:rsidRPr="00E86B52">
        <w:rPr>
          <w:rFonts w:ascii="仿宋_GB2312" w:hAnsi="仿宋_GB2312" w:cs="仿宋_GB2312" w:hint="eastAsia"/>
          <w:b/>
          <w:bCs/>
          <w:szCs w:val="32"/>
        </w:rPr>
        <w:t>质量追溯管理</w:t>
      </w:r>
    </w:p>
    <w:p w:rsidR="00A70F4F" w:rsidRPr="00E86B52" w:rsidRDefault="00E86B52" w:rsidP="00E86B52">
      <w:pPr>
        <w:autoSpaceDE w:val="0"/>
        <w:autoSpaceDN w:val="0"/>
        <w:adjustRightInd w:val="0"/>
        <w:ind w:firstLine="640"/>
        <w:jc w:val="left"/>
        <w:rPr>
          <w:rFonts w:ascii="仿宋_GB2312" w:hAnsi="仿宋_GB2312" w:cs="仿宋_GB2312"/>
          <w:szCs w:val="32"/>
          <w:lang w:val="zh-CN"/>
        </w:rPr>
      </w:pPr>
      <w:r>
        <w:rPr>
          <w:rFonts w:ascii="仿宋_GB2312" w:hAnsi="仿宋_GB2312" w:cs="仿宋_GB2312" w:hint="eastAsia"/>
          <w:szCs w:val="32"/>
          <w:lang w:val="zh-CN"/>
        </w:rPr>
        <w:t>应</w:t>
      </w:r>
      <w:r w:rsidRPr="00E86B52">
        <w:rPr>
          <w:rFonts w:ascii="仿宋_GB2312" w:hAnsi="仿宋_GB2312" w:cs="仿宋_GB2312" w:hint="eastAsia"/>
          <w:szCs w:val="32"/>
          <w:lang w:val="zh-CN"/>
        </w:rPr>
        <w:t>建立质量安全溯源模块，自动关联或录入作物生长、农事管理、数据监测、质量检测等信息，实现农产品“一品一码”质</w:t>
      </w:r>
      <w:r w:rsidRPr="00E86B52">
        <w:rPr>
          <w:rFonts w:ascii="仿宋_GB2312" w:hAnsi="仿宋_GB2312" w:cs="仿宋_GB2312" w:hint="eastAsia"/>
          <w:szCs w:val="32"/>
          <w:lang w:val="zh-CN"/>
        </w:rPr>
        <w:lastRenderedPageBreak/>
        <w:t>量安全追溯</w:t>
      </w:r>
      <w:r>
        <w:rPr>
          <w:rFonts w:ascii="仿宋_GB2312" w:hAnsi="仿宋_GB2312" w:cs="仿宋_GB2312" w:hint="eastAsia"/>
          <w:szCs w:val="32"/>
          <w:lang w:val="zh-CN"/>
        </w:rPr>
        <w:t>。</w:t>
      </w:r>
    </w:p>
    <w:p w:rsidR="009A0C7B" w:rsidRPr="004B2637" w:rsidRDefault="00992D31" w:rsidP="004B2637">
      <w:pPr>
        <w:autoSpaceDE w:val="0"/>
        <w:autoSpaceDN w:val="0"/>
        <w:adjustRightInd w:val="0"/>
        <w:ind w:firstLine="640"/>
        <w:jc w:val="left"/>
        <w:rPr>
          <w:rFonts w:ascii="黑体" w:eastAsia="黑体" w:hAnsi="黑体" w:cs="仿宋_GB2312"/>
          <w:szCs w:val="32"/>
        </w:rPr>
      </w:pPr>
      <w:r w:rsidRPr="004B2637">
        <w:rPr>
          <w:rFonts w:ascii="黑体" w:eastAsia="黑体" w:hAnsi="黑体" w:cs="仿宋_GB2312" w:hint="eastAsia"/>
          <w:szCs w:val="32"/>
        </w:rPr>
        <w:t>六、</w:t>
      </w:r>
      <w:bookmarkEnd w:id="2"/>
      <w:r w:rsidRPr="004B2637">
        <w:rPr>
          <w:rFonts w:ascii="黑体" w:eastAsia="黑体" w:hAnsi="黑体" w:cs="仿宋_GB2312" w:hint="eastAsia"/>
          <w:szCs w:val="32"/>
        </w:rPr>
        <w:t>重大分歧意见的处理经过和依据</w:t>
      </w:r>
    </w:p>
    <w:p w:rsidR="009A0C7B" w:rsidRDefault="00992D31">
      <w:pPr>
        <w:ind w:firstLine="640"/>
        <w:rPr>
          <w:rFonts w:ascii="仿宋_GB2312" w:hAnsi="仿宋_GB2312" w:cs="仿宋_GB2312"/>
          <w:szCs w:val="28"/>
        </w:rPr>
      </w:pPr>
      <w:r>
        <w:rPr>
          <w:rFonts w:ascii="仿宋_GB2312" w:hAnsi="仿宋_GB2312" w:cs="仿宋_GB2312" w:hint="eastAsia"/>
          <w:szCs w:val="28"/>
        </w:rPr>
        <w:t>本标准研制过程中无重大分歧意见。</w:t>
      </w:r>
    </w:p>
    <w:p w:rsidR="009A0C7B" w:rsidRPr="004B2637" w:rsidRDefault="00992D31" w:rsidP="004B2637">
      <w:pPr>
        <w:autoSpaceDE w:val="0"/>
        <w:autoSpaceDN w:val="0"/>
        <w:adjustRightInd w:val="0"/>
        <w:ind w:firstLine="640"/>
        <w:jc w:val="left"/>
        <w:rPr>
          <w:rFonts w:ascii="黑体" w:eastAsia="黑体" w:hAnsi="黑体" w:cs="仿宋_GB2312"/>
          <w:szCs w:val="32"/>
        </w:rPr>
      </w:pPr>
      <w:r w:rsidRPr="004B2637">
        <w:rPr>
          <w:rFonts w:ascii="黑体" w:eastAsia="黑体" w:hAnsi="黑体" w:cs="仿宋_GB2312" w:hint="eastAsia"/>
          <w:szCs w:val="32"/>
        </w:rPr>
        <w:t>七、实施标准的措施</w:t>
      </w:r>
    </w:p>
    <w:p w:rsidR="009A0C7B" w:rsidRDefault="00992D31">
      <w:pPr>
        <w:ind w:firstLine="643"/>
        <w:rPr>
          <w:rFonts w:ascii="仿宋_GB2312" w:hAnsi="仿宋_GB2312" w:cs="仿宋_GB2312"/>
          <w:b/>
          <w:szCs w:val="28"/>
        </w:rPr>
      </w:pPr>
      <w:r>
        <w:rPr>
          <w:rFonts w:ascii="仿宋_GB2312" w:hAnsi="仿宋_GB2312" w:cs="仿宋_GB2312" w:hint="eastAsia"/>
          <w:b/>
          <w:szCs w:val="28"/>
        </w:rPr>
        <w:t>（一）标准报批发布后，成立标准宣贯工作组</w:t>
      </w:r>
    </w:p>
    <w:p w:rsidR="009A0C7B" w:rsidRDefault="00992D31">
      <w:pPr>
        <w:ind w:firstLine="640"/>
        <w:rPr>
          <w:rFonts w:ascii="仿宋_GB2312" w:hAnsi="仿宋_GB2312" w:cs="仿宋_GB2312"/>
          <w:szCs w:val="28"/>
        </w:rPr>
      </w:pPr>
      <w:r>
        <w:rPr>
          <w:rFonts w:ascii="仿宋_GB2312" w:hAnsi="仿宋_GB2312" w:cs="仿宋_GB2312"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9A0C7B" w:rsidRDefault="00992D31">
      <w:pPr>
        <w:ind w:firstLine="643"/>
        <w:rPr>
          <w:rFonts w:ascii="仿宋_GB2312" w:hAnsi="仿宋_GB2312" w:cs="仿宋_GB2312"/>
          <w:b/>
          <w:szCs w:val="28"/>
        </w:rPr>
      </w:pPr>
      <w:r>
        <w:rPr>
          <w:rFonts w:ascii="仿宋_GB2312" w:hAnsi="仿宋_GB2312" w:cs="仿宋_GB2312" w:hint="eastAsia"/>
          <w:b/>
          <w:szCs w:val="28"/>
        </w:rPr>
        <w:t>（二）组织开展标准宣贯培训</w:t>
      </w:r>
    </w:p>
    <w:p w:rsidR="009A0C7B" w:rsidRDefault="00992D31">
      <w:pPr>
        <w:ind w:firstLine="640"/>
        <w:rPr>
          <w:rFonts w:ascii="仿宋_GB2312" w:hAnsi="仿宋_GB2312" w:cs="仿宋_GB2312"/>
          <w:szCs w:val="28"/>
        </w:rPr>
      </w:pPr>
      <w:r>
        <w:rPr>
          <w:rFonts w:ascii="仿宋_GB2312" w:hAnsi="仿宋_GB2312" w:cs="仿宋_GB2312" w:hint="eastAsia"/>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rsidR="009A0C7B" w:rsidRDefault="00992D31">
      <w:pPr>
        <w:ind w:firstLine="643"/>
        <w:rPr>
          <w:rFonts w:ascii="仿宋_GB2312" w:hAnsi="仿宋_GB2312" w:cs="仿宋_GB2312"/>
          <w:b/>
          <w:szCs w:val="28"/>
        </w:rPr>
      </w:pPr>
      <w:r>
        <w:rPr>
          <w:rFonts w:ascii="仿宋_GB2312" w:hAnsi="仿宋_GB2312" w:cs="仿宋_GB2312" w:hint="eastAsia"/>
          <w:b/>
          <w:szCs w:val="28"/>
        </w:rPr>
        <w:t>（三）开展标准实施交流会，收集标准实施反馈信息</w:t>
      </w:r>
    </w:p>
    <w:p w:rsidR="009A0C7B" w:rsidRDefault="00992D31">
      <w:pPr>
        <w:ind w:firstLine="640"/>
        <w:rPr>
          <w:rFonts w:ascii="仿宋_GB2312" w:hAnsi="仿宋_GB2312" w:cs="仿宋_GB2312"/>
          <w:szCs w:val="28"/>
        </w:rPr>
      </w:pPr>
      <w:r>
        <w:rPr>
          <w:rFonts w:ascii="仿宋_GB2312" w:hAnsi="仿宋_GB2312" w:cs="仿宋_GB2312"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仿宋_GB2312" w:cs="仿宋_GB2312" w:hint="eastAsia"/>
          <w:szCs w:val="28"/>
        </w:rPr>
        <w:t>修订做</w:t>
      </w:r>
      <w:proofErr w:type="gramEnd"/>
      <w:r>
        <w:rPr>
          <w:rFonts w:ascii="仿宋_GB2312" w:hAnsi="仿宋_GB2312" w:cs="仿宋_GB2312" w:hint="eastAsia"/>
          <w:szCs w:val="28"/>
        </w:rPr>
        <w:t>准备。</w:t>
      </w:r>
    </w:p>
    <w:p w:rsidR="009A0C7B" w:rsidRDefault="00992D31">
      <w:pPr>
        <w:ind w:firstLine="643"/>
        <w:rPr>
          <w:rFonts w:ascii="仿宋_GB2312" w:hAnsi="仿宋_GB2312" w:cs="仿宋_GB2312"/>
          <w:b/>
          <w:szCs w:val="28"/>
        </w:rPr>
      </w:pPr>
      <w:r>
        <w:rPr>
          <w:rFonts w:ascii="仿宋_GB2312" w:hAnsi="仿宋_GB2312" w:cs="仿宋_GB2312" w:hint="eastAsia"/>
          <w:b/>
          <w:szCs w:val="28"/>
        </w:rPr>
        <w:t>（四）开展标准实施效果评估</w:t>
      </w:r>
    </w:p>
    <w:p w:rsidR="009A0C7B" w:rsidRDefault="00992D31">
      <w:pPr>
        <w:ind w:firstLine="640"/>
        <w:rPr>
          <w:rFonts w:ascii="仿宋_GB2312" w:hAnsi="仿宋_GB2312" w:cs="仿宋_GB2312"/>
          <w:szCs w:val="28"/>
        </w:rPr>
      </w:pPr>
      <w:r>
        <w:rPr>
          <w:rFonts w:ascii="仿宋_GB2312" w:hAnsi="仿宋_GB2312" w:cs="仿宋_GB2312" w:hint="eastAsia"/>
          <w:szCs w:val="28"/>
        </w:rPr>
        <w:t>标准实施满2年，每年标准宣贯工作组采取网络调查、问卷调查、实地调研、召开座谈会或论证会、专家咨询等方式开展标</w:t>
      </w:r>
      <w:r>
        <w:rPr>
          <w:rFonts w:ascii="仿宋_GB2312" w:hAnsi="仿宋_GB2312" w:cs="仿宋_GB2312" w:hint="eastAsia"/>
          <w:szCs w:val="28"/>
        </w:rPr>
        <w:lastRenderedPageBreak/>
        <w:t>准实施效果评估，并形成标准实施效果评估报告，为标准的复审</w:t>
      </w:r>
      <w:proofErr w:type="gramStart"/>
      <w:r>
        <w:rPr>
          <w:rFonts w:ascii="仿宋_GB2312" w:hAnsi="仿宋_GB2312" w:cs="仿宋_GB2312" w:hint="eastAsia"/>
          <w:szCs w:val="28"/>
        </w:rPr>
        <w:t>修订做</w:t>
      </w:r>
      <w:proofErr w:type="gramEnd"/>
      <w:r>
        <w:rPr>
          <w:rFonts w:ascii="仿宋_GB2312" w:hAnsi="仿宋_GB2312" w:cs="仿宋_GB2312" w:hint="eastAsia"/>
          <w:szCs w:val="28"/>
        </w:rPr>
        <w:t>准备。</w:t>
      </w:r>
    </w:p>
    <w:p w:rsidR="009A0C7B" w:rsidRPr="004B2637" w:rsidRDefault="00992D31">
      <w:pPr>
        <w:autoSpaceDE w:val="0"/>
        <w:autoSpaceDN w:val="0"/>
        <w:adjustRightInd w:val="0"/>
        <w:ind w:firstLine="640"/>
        <w:jc w:val="left"/>
        <w:rPr>
          <w:rFonts w:ascii="黑体" w:eastAsia="黑体" w:hAnsi="黑体" w:cs="仿宋_GB2312"/>
          <w:szCs w:val="32"/>
        </w:rPr>
      </w:pPr>
      <w:r w:rsidRPr="004B2637">
        <w:rPr>
          <w:rFonts w:ascii="黑体" w:eastAsia="黑体" w:hAnsi="黑体" w:cs="仿宋_GB2312" w:hint="eastAsia"/>
          <w:szCs w:val="32"/>
        </w:rPr>
        <w:t>八、其他应当说明的事项</w:t>
      </w:r>
    </w:p>
    <w:p w:rsidR="009A0C7B" w:rsidRDefault="00992D31">
      <w:pPr>
        <w:ind w:firstLine="640"/>
        <w:rPr>
          <w:rFonts w:ascii="仿宋_GB2312" w:hAnsi="仿宋_GB2312" w:cs="仿宋_GB2312"/>
          <w:szCs w:val="28"/>
        </w:rPr>
      </w:pPr>
      <w:r>
        <w:rPr>
          <w:rFonts w:ascii="仿宋_GB2312" w:hAnsi="仿宋_GB2312" w:cs="仿宋_GB2312" w:hint="eastAsia"/>
          <w:szCs w:val="28"/>
        </w:rPr>
        <w:t>无。</w:t>
      </w:r>
    </w:p>
    <w:p w:rsidR="009A0C7B" w:rsidRDefault="009A0C7B" w:rsidP="00904A51">
      <w:pPr>
        <w:ind w:firstLineChars="0" w:firstLine="0"/>
        <w:rPr>
          <w:rFonts w:ascii="仿宋_GB2312" w:hAnsi="仿宋_GB2312" w:cs="仿宋_GB2312"/>
          <w:bCs/>
          <w:color w:val="000000"/>
          <w:sz w:val="36"/>
          <w:szCs w:val="32"/>
        </w:rPr>
      </w:pPr>
    </w:p>
    <w:p w:rsidR="009A0C7B" w:rsidRDefault="00992D31" w:rsidP="005C640F">
      <w:pPr>
        <w:wordWrap w:val="0"/>
        <w:ind w:firstLine="560"/>
        <w:jc w:val="right"/>
        <w:rPr>
          <w:rFonts w:ascii="仿宋_GB2312" w:hAnsi="仿宋_GB2312" w:cs="仿宋_GB2312"/>
          <w:szCs w:val="28"/>
        </w:rPr>
      </w:pPr>
      <w:r w:rsidRPr="005C640F">
        <w:rPr>
          <w:rFonts w:ascii="仿宋_GB2312" w:hAnsi="仿宋_GB2312" w:cs="仿宋_GB2312" w:hint="eastAsia"/>
          <w:sz w:val="28"/>
          <w:szCs w:val="28"/>
        </w:rPr>
        <w:t>团体标准《</w:t>
      </w:r>
      <w:r w:rsidR="00027D4D" w:rsidRPr="005C640F">
        <w:rPr>
          <w:rFonts w:ascii="仿宋_GB2312" w:hAnsi="仿宋_GB2312" w:cs="仿宋_GB2312" w:hint="eastAsia"/>
          <w:sz w:val="28"/>
          <w:szCs w:val="28"/>
        </w:rPr>
        <w:t>大红柑智慧种植园建设与管理规范</w:t>
      </w:r>
      <w:r w:rsidRPr="005C640F">
        <w:rPr>
          <w:rFonts w:ascii="仿宋_GB2312" w:hAnsi="仿宋_GB2312" w:cs="仿宋_GB2312" w:hint="eastAsia"/>
          <w:sz w:val="28"/>
          <w:szCs w:val="28"/>
        </w:rPr>
        <w:t>》标准编制工作组</w:t>
      </w:r>
    </w:p>
    <w:p w:rsidR="009A0C7B" w:rsidRDefault="00992D31" w:rsidP="005C640F">
      <w:pPr>
        <w:wordWrap w:val="0"/>
        <w:ind w:firstLine="560"/>
        <w:jc w:val="right"/>
        <w:rPr>
          <w:rFonts w:ascii="仿宋_GB2312" w:hAnsi="仿宋_GB2312" w:cs="仿宋_GB2312"/>
          <w:color w:val="FF0000"/>
          <w:szCs w:val="28"/>
        </w:rPr>
      </w:pPr>
      <w:r w:rsidRPr="005C640F">
        <w:rPr>
          <w:rFonts w:ascii="仿宋_GB2312" w:hAnsi="仿宋_GB2312" w:cs="仿宋_GB2312" w:hint="eastAsia"/>
          <w:sz w:val="28"/>
          <w:szCs w:val="28"/>
        </w:rPr>
        <w:t>2025年</w:t>
      </w:r>
      <w:r w:rsidR="005C640F">
        <w:rPr>
          <w:rFonts w:ascii="仿宋_GB2312" w:hAnsi="仿宋_GB2312" w:cs="仿宋_GB2312" w:hint="eastAsia"/>
          <w:sz w:val="28"/>
          <w:szCs w:val="28"/>
        </w:rPr>
        <w:t>11</w:t>
      </w:r>
      <w:r w:rsidRPr="005C640F">
        <w:rPr>
          <w:rFonts w:ascii="仿宋_GB2312" w:hAnsi="仿宋_GB2312" w:cs="仿宋_GB2312" w:hint="eastAsia"/>
          <w:sz w:val="28"/>
          <w:szCs w:val="28"/>
        </w:rPr>
        <w:t>月24日</w:t>
      </w:r>
      <w:r w:rsidRPr="005C640F">
        <w:rPr>
          <w:rFonts w:ascii="仿宋_GB2312" w:hAnsi="仿宋_GB2312" w:cs="仿宋_GB2312" w:hint="eastAsia"/>
          <w:color w:val="FF0000"/>
          <w:sz w:val="28"/>
          <w:szCs w:val="28"/>
        </w:rPr>
        <w:t xml:space="preserve">    </w:t>
      </w:r>
    </w:p>
    <w:sectPr w:rsidR="009A0C7B">
      <w:headerReference w:type="even" r:id="rId14"/>
      <w:headerReference w:type="default" r:id="rId15"/>
      <w:footerReference w:type="even" r:id="rId16"/>
      <w:footerReference w:type="default" r:id="rId17"/>
      <w:headerReference w:type="first" r:id="rId18"/>
      <w:footerReference w:type="first" r:id="rId19"/>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497A" w:rsidRDefault="00B9497A">
      <w:pPr>
        <w:ind w:firstLine="640"/>
      </w:pPr>
      <w:r>
        <w:separator/>
      </w:r>
    </w:p>
  </w:endnote>
  <w:endnote w:type="continuationSeparator" w:id="0">
    <w:p w:rsidR="00B9497A" w:rsidRDefault="00B9497A">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B03" w:rsidRDefault="00A43B03" w:rsidP="00027D4D">
    <w:pPr>
      <w:pStyle w:val="af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A43B03" w:rsidRDefault="00A43B03" w:rsidP="003008EA">
        <w:pPr>
          <w:pStyle w:val="af5"/>
          <w:ind w:firstLine="360"/>
          <w:jc w:val="center"/>
        </w:pPr>
        <w:r>
          <w:fldChar w:fldCharType="begin"/>
        </w:r>
        <w:r>
          <w:instrText>PAGE   \* MERGEFORMAT</w:instrText>
        </w:r>
        <w:r>
          <w:fldChar w:fldCharType="separate"/>
        </w:r>
        <w:r w:rsidR="00EC6B51" w:rsidRPr="00EC6B51">
          <w:rPr>
            <w:noProof/>
            <w:lang w:val="zh-CN"/>
          </w:rPr>
          <w:t>22</w:t>
        </w:r>
        <w:r>
          <w:fldChar w:fldCharType="end"/>
        </w:r>
      </w:p>
    </w:sdtContent>
  </w:sdt>
  <w:p w:rsidR="00A43B03" w:rsidRDefault="00A43B03" w:rsidP="003008EA">
    <w:pPr>
      <w:pStyle w:val="af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B03" w:rsidRDefault="00A43B03" w:rsidP="00027D4D">
    <w:pPr>
      <w:pStyle w:val="af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497A" w:rsidRDefault="00B9497A">
      <w:pPr>
        <w:ind w:firstLine="640"/>
      </w:pPr>
      <w:r>
        <w:separator/>
      </w:r>
    </w:p>
  </w:footnote>
  <w:footnote w:type="continuationSeparator" w:id="0">
    <w:p w:rsidR="00B9497A" w:rsidRDefault="00B9497A">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B03" w:rsidRDefault="00A43B03" w:rsidP="00027D4D">
    <w:pPr>
      <w:pStyle w:val="af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B03" w:rsidRPr="00027D4D" w:rsidRDefault="00A43B03" w:rsidP="00027D4D">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B03" w:rsidRDefault="00A43B03" w:rsidP="00027D4D">
    <w:pPr>
      <w:pStyle w:val="af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2">
    <w:nsid w:val="0E741D87"/>
    <w:multiLevelType w:val="multilevel"/>
    <w:tmpl w:val="E92A7F88"/>
    <w:lvl w:ilvl="0">
      <w:start w:val="1"/>
      <w:numFmt w:val="decimal"/>
      <w:lvlText w:val="%1"/>
      <w:lvlJc w:val="left"/>
      <w:pPr>
        <w:tabs>
          <w:tab w:val="num" w:pos="420"/>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4">
    <w:nsid w:val="1FC91163"/>
    <w:multiLevelType w:val="multilevel"/>
    <w:tmpl w:val="1FC91163"/>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4"/>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nsid w:val="2A8F7113"/>
    <w:multiLevelType w:val="multilevel"/>
    <w:tmpl w:val="2A8F7113"/>
    <w:lvl w:ilvl="0">
      <w:start w:val="1"/>
      <w:numFmt w:val="upperLetter"/>
      <w:pStyle w:val="a8"/>
      <w:suff w:val="space"/>
      <w:lvlText w:val="%1"/>
      <w:lvlJc w:val="left"/>
      <w:pPr>
        <w:ind w:left="623" w:hanging="425"/>
      </w:pPr>
      <w:rPr>
        <w:rFonts w:hint="eastAsia"/>
      </w:rPr>
    </w:lvl>
    <w:lvl w:ilvl="1">
      <w:start w:val="1"/>
      <w:numFmt w:val="decimal"/>
      <w:pStyle w:val="a9"/>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6">
    <w:nsid w:val="2C5917C3"/>
    <w:multiLevelType w:val="multilevel"/>
    <w:tmpl w:val="2C5917C3"/>
    <w:lvl w:ilvl="0">
      <w:start w:val="1"/>
      <w:numFmt w:val="none"/>
      <w:pStyle w:val="aa"/>
      <w:lvlText w:val="%1——"/>
      <w:lvlJc w:val="left"/>
      <w:pPr>
        <w:tabs>
          <w:tab w:val="left" w:pos="851"/>
        </w:tabs>
        <w:ind w:left="851" w:hanging="426"/>
      </w:pPr>
      <w:rPr>
        <w:rFonts w:ascii="宋体" w:eastAsia="宋体" w:hAnsi="Times New Roman"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7">
    <w:nsid w:val="557C2AF5"/>
    <w:multiLevelType w:val="multilevel"/>
    <w:tmpl w:val="557C2AF5"/>
    <w:lvl w:ilvl="0">
      <w:start w:val="1"/>
      <w:numFmt w:val="decimal"/>
      <w:pStyle w:val="ab"/>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8">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c"/>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9">
    <w:nsid w:val="646260FA"/>
    <w:multiLevelType w:val="multilevel"/>
    <w:tmpl w:val="646260FA"/>
    <w:lvl w:ilvl="0">
      <w:start w:val="1"/>
      <w:numFmt w:val="decimal"/>
      <w:pStyle w:val="ad"/>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e"/>
      <w:suff w:val="nothing"/>
      <w:lvlText w:val="%1%2　"/>
      <w:lvlJc w:val="left"/>
      <w:pPr>
        <w:ind w:left="0" w:firstLine="0"/>
      </w:pPr>
      <w:rPr>
        <w:rFonts w:ascii="黑体" w:eastAsia="黑体" w:hint="eastAsia"/>
        <w:b w:val="0"/>
        <w:i w:val="0"/>
        <w:sz w:val="21"/>
      </w:rPr>
    </w:lvl>
    <w:lvl w:ilvl="2">
      <w:start w:val="1"/>
      <w:numFmt w:val="decimal"/>
      <w:pStyle w:val="af"/>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ligatures w14:val="none"/>
        <w14:numForm w14:val="default"/>
        <w14:numSpacing w14:val="default"/>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9"/>
  </w:num>
  <w:num w:numId="2">
    <w:abstractNumId w:val="7"/>
  </w:num>
  <w:num w:numId="3">
    <w:abstractNumId w:val="4"/>
  </w:num>
  <w:num w:numId="4">
    <w:abstractNumId w:val="0"/>
  </w:num>
  <w:num w:numId="5">
    <w:abstractNumId w:val="5"/>
  </w:num>
  <w:num w:numId="6">
    <w:abstractNumId w:val="3"/>
  </w:num>
  <w:num w:numId="7">
    <w:abstractNumId w:val="1"/>
  </w:num>
  <w:num w:numId="8">
    <w:abstractNumId w:val="8"/>
  </w:num>
  <w:num w:numId="9">
    <w:abstractNumId w:val="10"/>
  </w:num>
  <w:num w:numId="10">
    <w:abstractNumId w:val="6"/>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230A"/>
    <w:rsid w:val="00023119"/>
    <w:rsid w:val="00023FE2"/>
    <w:rsid w:val="00024212"/>
    <w:rsid w:val="00024664"/>
    <w:rsid w:val="00027D4D"/>
    <w:rsid w:val="00032CD6"/>
    <w:rsid w:val="00033257"/>
    <w:rsid w:val="00034233"/>
    <w:rsid w:val="00034BDB"/>
    <w:rsid w:val="00044EF2"/>
    <w:rsid w:val="00047D7B"/>
    <w:rsid w:val="00053B0B"/>
    <w:rsid w:val="000576D0"/>
    <w:rsid w:val="00057758"/>
    <w:rsid w:val="00060FE2"/>
    <w:rsid w:val="0007330D"/>
    <w:rsid w:val="00073F72"/>
    <w:rsid w:val="000744AE"/>
    <w:rsid w:val="00074EB1"/>
    <w:rsid w:val="00076BBA"/>
    <w:rsid w:val="00080F2F"/>
    <w:rsid w:val="0008145A"/>
    <w:rsid w:val="0009177A"/>
    <w:rsid w:val="00093E74"/>
    <w:rsid w:val="000962F6"/>
    <w:rsid w:val="000A0201"/>
    <w:rsid w:val="000A1EAE"/>
    <w:rsid w:val="000A3070"/>
    <w:rsid w:val="000A3744"/>
    <w:rsid w:val="000A4601"/>
    <w:rsid w:val="000A77CD"/>
    <w:rsid w:val="000B51AE"/>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35CBB"/>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B73AD"/>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66510"/>
    <w:rsid w:val="00270391"/>
    <w:rsid w:val="0027235B"/>
    <w:rsid w:val="00283085"/>
    <w:rsid w:val="00283E25"/>
    <w:rsid w:val="0029084D"/>
    <w:rsid w:val="00291D7F"/>
    <w:rsid w:val="00291EF3"/>
    <w:rsid w:val="002952AC"/>
    <w:rsid w:val="0029607B"/>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08EA"/>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86EDB"/>
    <w:rsid w:val="00391984"/>
    <w:rsid w:val="00392E22"/>
    <w:rsid w:val="0039549C"/>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637"/>
    <w:rsid w:val="004B2E7F"/>
    <w:rsid w:val="004C4136"/>
    <w:rsid w:val="004D155D"/>
    <w:rsid w:val="004D2302"/>
    <w:rsid w:val="004D5B22"/>
    <w:rsid w:val="004E3026"/>
    <w:rsid w:val="004F0593"/>
    <w:rsid w:val="004F48C2"/>
    <w:rsid w:val="004F6805"/>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5F2C"/>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C640F"/>
    <w:rsid w:val="005C6642"/>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07937"/>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484F"/>
    <w:rsid w:val="006B6EA3"/>
    <w:rsid w:val="006C0CC0"/>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5107"/>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1767A"/>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4A51"/>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2D31"/>
    <w:rsid w:val="00993328"/>
    <w:rsid w:val="00995822"/>
    <w:rsid w:val="00997A44"/>
    <w:rsid w:val="009A008D"/>
    <w:rsid w:val="009A0C7B"/>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09A7"/>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4FF5"/>
    <w:rsid w:val="00A35F3F"/>
    <w:rsid w:val="00A36B38"/>
    <w:rsid w:val="00A40234"/>
    <w:rsid w:val="00A43B03"/>
    <w:rsid w:val="00A4496C"/>
    <w:rsid w:val="00A51323"/>
    <w:rsid w:val="00A51BDA"/>
    <w:rsid w:val="00A52FED"/>
    <w:rsid w:val="00A547EA"/>
    <w:rsid w:val="00A54EE3"/>
    <w:rsid w:val="00A60040"/>
    <w:rsid w:val="00A61125"/>
    <w:rsid w:val="00A64033"/>
    <w:rsid w:val="00A65635"/>
    <w:rsid w:val="00A66230"/>
    <w:rsid w:val="00A66B33"/>
    <w:rsid w:val="00A706DE"/>
    <w:rsid w:val="00A70BEA"/>
    <w:rsid w:val="00A70F4F"/>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4019"/>
    <w:rsid w:val="00AE5941"/>
    <w:rsid w:val="00AE7E72"/>
    <w:rsid w:val="00AF00B0"/>
    <w:rsid w:val="00AF0B6E"/>
    <w:rsid w:val="00AF0C1B"/>
    <w:rsid w:val="00AF1152"/>
    <w:rsid w:val="00AF20DE"/>
    <w:rsid w:val="00AF2C7E"/>
    <w:rsid w:val="00AF337C"/>
    <w:rsid w:val="00AF365B"/>
    <w:rsid w:val="00AF3BC9"/>
    <w:rsid w:val="00B009E1"/>
    <w:rsid w:val="00B0152E"/>
    <w:rsid w:val="00B06F77"/>
    <w:rsid w:val="00B17EA4"/>
    <w:rsid w:val="00B200B1"/>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49A0"/>
    <w:rsid w:val="00B873B1"/>
    <w:rsid w:val="00B91C42"/>
    <w:rsid w:val="00B9497A"/>
    <w:rsid w:val="00BB0ED6"/>
    <w:rsid w:val="00BB1C0A"/>
    <w:rsid w:val="00BB4376"/>
    <w:rsid w:val="00BB4A45"/>
    <w:rsid w:val="00BB4B74"/>
    <w:rsid w:val="00BB6FED"/>
    <w:rsid w:val="00BC41B2"/>
    <w:rsid w:val="00BC45B6"/>
    <w:rsid w:val="00BC4F9E"/>
    <w:rsid w:val="00BD6E93"/>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A7EEA"/>
    <w:rsid w:val="00CC1221"/>
    <w:rsid w:val="00CC4EE7"/>
    <w:rsid w:val="00CD34B2"/>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4961"/>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3C37"/>
    <w:rsid w:val="00E26D09"/>
    <w:rsid w:val="00E26EE5"/>
    <w:rsid w:val="00E32815"/>
    <w:rsid w:val="00E33554"/>
    <w:rsid w:val="00E40596"/>
    <w:rsid w:val="00E40BA9"/>
    <w:rsid w:val="00E41B77"/>
    <w:rsid w:val="00E45EC3"/>
    <w:rsid w:val="00E47C4F"/>
    <w:rsid w:val="00E54124"/>
    <w:rsid w:val="00E541A3"/>
    <w:rsid w:val="00E637BB"/>
    <w:rsid w:val="00E638C8"/>
    <w:rsid w:val="00E658DD"/>
    <w:rsid w:val="00E65D7E"/>
    <w:rsid w:val="00E70383"/>
    <w:rsid w:val="00E7427C"/>
    <w:rsid w:val="00E75972"/>
    <w:rsid w:val="00E815D2"/>
    <w:rsid w:val="00E82204"/>
    <w:rsid w:val="00E8377B"/>
    <w:rsid w:val="00E83A77"/>
    <w:rsid w:val="00E86B52"/>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C6B51"/>
    <w:rsid w:val="00ED2F39"/>
    <w:rsid w:val="00ED30F4"/>
    <w:rsid w:val="00ED43BB"/>
    <w:rsid w:val="00ED449A"/>
    <w:rsid w:val="00ED68E9"/>
    <w:rsid w:val="00EE1FC2"/>
    <w:rsid w:val="00EE568F"/>
    <w:rsid w:val="00EF19E3"/>
    <w:rsid w:val="00EF670C"/>
    <w:rsid w:val="00F11F09"/>
    <w:rsid w:val="00F1455B"/>
    <w:rsid w:val="00F16D36"/>
    <w:rsid w:val="00F210FD"/>
    <w:rsid w:val="00F250D2"/>
    <w:rsid w:val="00F25716"/>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36732D"/>
    <w:rsid w:val="01B91D0C"/>
    <w:rsid w:val="01CE5D1C"/>
    <w:rsid w:val="024C2B81"/>
    <w:rsid w:val="02663C42"/>
    <w:rsid w:val="0301396B"/>
    <w:rsid w:val="039E595D"/>
    <w:rsid w:val="03E77005"/>
    <w:rsid w:val="041651F4"/>
    <w:rsid w:val="04441D61"/>
    <w:rsid w:val="04F16063"/>
    <w:rsid w:val="050B287F"/>
    <w:rsid w:val="0530678A"/>
    <w:rsid w:val="060A0D89"/>
    <w:rsid w:val="070F07F6"/>
    <w:rsid w:val="08083403"/>
    <w:rsid w:val="09694018"/>
    <w:rsid w:val="09BE5E2A"/>
    <w:rsid w:val="0A091F73"/>
    <w:rsid w:val="0A8504E9"/>
    <w:rsid w:val="0CC151AB"/>
    <w:rsid w:val="0D7F02AE"/>
    <w:rsid w:val="0D92619C"/>
    <w:rsid w:val="0DF465A6"/>
    <w:rsid w:val="0F412CA9"/>
    <w:rsid w:val="0FD566D2"/>
    <w:rsid w:val="118934A9"/>
    <w:rsid w:val="11924EB2"/>
    <w:rsid w:val="11A554D7"/>
    <w:rsid w:val="12AF5192"/>
    <w:rsid w:val="13B2170D"/>
    <w:rsid w:val="13B97480"/>
    <w:rsid w:val="13CB172E"/>
    <w:rsid w:val="14034EB5"/>
    <w:rsid w:val="14787805"/>
    <w:rsid w:val="14870494"/>
    <w:rsid w:val="15085E8C"/>
    <w:rsid w:val="15174F60"/>
    <w:rsid w:val="1556095A"/>
    <w:rsid w:val="15E11B06"/>
    <w:rsid w:val="167D7F24"/>
    <w:rsid w:val="16D451C7"/>
    <w:rsid w:val="17306AB5"/>
    <w:rsid w:val="17373F64"/>
    <w:rsid w:val="17614581"/>
    <w:rsid w:val="17805371"/>
    <w:rsid w:val="180F222F"/>
    <w:rsid w:val="18194E5B"/>
    <w:rsid w:val="196640D0"/>
    <w:rsid w:val="19A054D6"/>
    <w:rsid w:val="1B0717C8"/>
    <w:rsid w:val="1B636B19"/>
    <w:rsid w:val="1BE33681"/>
    <w:rsid w:val="1CCC6940"/>
    <w:rsid w:val="1EB350B6"/>
    <w:rsid w:val="1ED45248"/>
    <w:rsid w:val="1FD2426D"/>
    <w:rsid w:val="201C7BDE"/>
    <w:rsid w:val="20355E85"/>
    <w:rsid w:val="20653288"/>
    <w:rsid w:val="21862EC6"/>
    <w:rsid w:val="218D48F0"/>
    <w:rsid w:val="237A2B2A"/>
    <w:rsid w:val="23EF1892"/>
    <w:rsid w:val="24174945"/>
    <w:rsid w:val="2426102C"/>
    <w:rsid w:val="257227BA"/>
    <w:rsid w:val="25CB074B"/>
    <w:rsid w:val="25F52A64"/>
    <w:rsid w:val="265B5E13"/>
    <w:rsid w:val="267B565F"/>
    <w:rsid w:val="26A56238"/>
    <w:rsid w:val="26C863CA"/>
    <w:rsid w:val="2718377D"/>
    <w:rsid w:val="280B47C0"/>
    <w:rsid w:val="28135ECF"/>
    <w:rsid w:val="29F714A0"/>
    <w:rsid w:val="2A16744D"/>
    <w:rsid w:val="2AAC5B23"/>
    <w:rsid w:val="2AB32EED"/>
    <w:rsid w:val="2B3109E2"/>
    <w:rsid w:val="2B487ADA"/>
    <w:rsid w:val="2BE55328"/>
    <w:rsid w:val="2C254300"/>
    <w:rsid w:val="2C416A03"/>
    <w:rsid w:val="2C4F36F5"/>
    <w:rsid w:val="2D5F22BD"/>
    <w:rsid w:val="2D7D7F0E"/>
    <w:rsid w:val="2DF6381D"/>
    <w:rsid w:val="2EBD433B"/>
    <w:rsid w:val="2EC76F67"/>
    <w:rsid w:val="2FF37D11"/>
    <w:rsid w:val="3013049D"/>
    <w:rsid w:val="31507BB8"/>
    <w:rsid w:val="32CE4D68"/>
    <w:rsid w:val="332C3D99"/>
    <w:rsid w:val="3491604D"/>
    <w:rsid w:val="35150A2C"/>
    <w:rsid w:val="359758E5"/>
    <w:rsid w:val="35F9034E"/>
    <w:rsid w:val="365875C5"/>
    <w:rsid w:val="37623CD1"/>
    <w:rsid w:val="38673C95"/>
    <w:rsid w:val="39356049"/>
    <w:rsid w:val="395104A1"/>
    <w:rsid w:val="39822409"/>
    <w:rsid w:val="3A296D28"/>
    <w:rsid w:val="3A7C32FC"/>
    <w:rsid w:val="3B0E03F8"/>
    <w:rsid w:val="3B3B4F65"/>
    <w:rsid w:val="3B4E60E4"/>
    <w:rsid w:val="3BFE2074"/>
    <w:rsid w:val="3C3178A8"/>
    <w:rsid w:val="3C5938F5"/>
    <w:rsid w:val="3E38578C"/>
    <w:rsid w:val="3E3C527C"/>
    <w:rsid w:val="3E6912FB"/>
    <w:rsid w:val="3F5860E5"/>
    <w:rsid w:val="3F8C7277"/>
    <w:rsid w:val="3FA0222F"/>
    <w:rsid w:val="42D769B6"/>
    <w:rsid w:val="4359067E"/>
    <w:rsid w:val="44F600D3"/>
    <w:rsid w:val="45617704"/>
    <w:rsid w:val="4597723C"/>
    <w:rsid w:val="45C142B9"/>
    <w:rsid w:val="464E0242"/>
    <w:rsid w:val="483B0352"/>
    <w:rsid w:val="48B048DB"/>
    <w:rsid w:val="492434DC"/>
    <w:rsid w:val="4A6718D3"/>
    <w:rsid w:val="4ADB2CA1"/>
    <w:rsid w:val="4B8C0594"/>
    <w:rsid w:val="4C0F7B1B"/>
    <w:rsid w:val="4CFE380A"/>
    <w:rsid w:val="4D862B8C"/>
    <w:rsid w:val="4DFF35F5"/>
    <w:rsid w:val="4ECE0172"/>
    <w:rsid w:val="4EF47599"/>
    <w:rsid w:val="4F844CD5"/>
    <w:rsid w:val="4FE3578A"/>
    <w:rsid w:val="501871CB"/>
    <w:rsid w:val="52C06024"/>
    <w:rsid w:val="53963229"/>
    <w:rsid w:val="54E94B5B"/>
    <w:rsid w:val="55661639"/>
    <w:rsid w:val="55761622"/>
    <w:rsid w:val="55801A9A"/>
    <w:rsid w:val="55F928C7"/>
    <w:rsid w:val="5626534E"/>
    <w:rsid w:val="57727B09"/>
    <w:rsid w:val="5945756E"/>
    <w:rsid w:val="5ACB1A0A"/>
    <w:rsid w:val="5BBA4800"/>
    <w:rsid w:val="5BCA3A6F"/>
    <w:rsid w:val="5BD857FA"/>
    <w:rsid w:val="5C080481"/>
    <w:rsid w:val="5CE45005"/>
    <w:rsid w:val="5DB11343"/>
    <w:rsid w:val="5E202145"/>
    <w:rsid w:val="5EA902B4"/>
    <w:rsid w:val="5ED2069F"/>
    <w:rsid w:val="5EF57055"/>
    <w:rsid w:val="5F223BC2"/>
    <w:rsid w:val="5F621BCD"/>
    <w:rsid w:val="5F717FA2"/>
    <w:rsid w:val="6031647B"/>
    <w:rsid w:val="60651FB9"/>
    <w:rsid w:val="60FB46CB"/>
    <w:rsid w:val="61BE5E24"/>
    <w:rsid w:val="62F74A7A"/>
    <w:rsid w:val="63247F09"/>
    <w:rsid w:val="63F20007"/>
    <w:rsid w:val="64487C27"/>
    <w:rsid w:val="645E744B"/>
    <w:rsid w:val="668E2223"/>
    <w:rsid w:val="683026D9"/>
    <w:rsid w:val="689A6DDC"/>
    <w:rsid w:val="693F388B"/>
    <w:rsid w:val="69C75A92"/>
    <w:rsid w:val="69EE1271"/>
    <w:rsid w:val="69F50021"/>
    <w:rsid w:val="6A301889"/>
    <w:rsid w:val="6C865790"/>
    <w:rsid w:val="6C9003BD"/>
    <w:rsid w:val="6D21370B"/>
    <w:rsid w:val="6DBA21A1"/>
    <w:rsid w:val="6DDB516E"/>
    <w:rsid w:val="6E7C32EF"/>
    <w:rsid w:val="6EB20ABF"/>
    <w:rsid w:val="6FB6638D"/>
    <w:rsid w:val="6FBE3493"/>
    <w:rsid w:val="709541F4"/>
    <w:rsid w:val="713752AB"/>
    <w:rsid w:val="718524BB"/>
    <w:rsid w:val="71C31235"/>
    <w:rsid w:val="725956F5"/>
    <w:rsid w:val="72EB27F1"/>
    <w:rsid w:val="73245D03"/>
    <w:rsid w:val="73731F46"/>
    <w:rsid w:val="743B3304"/>
    <w:rsid w:val="74604B19"/>
    <w:rsid w:val="757D171F"/>
    <w:rsid w:val="769D02A6"/>
    <w:rsid w:val="78AA0A59"/>
    <w:rsid w:val="78AF3D07"/>
    <w:rsid w:val="79B06543"/>
    <w:rsid w:val="7AF5051C"/>
    <w:rsid w:val="7BBA680A"/>
    <w:rsid w:val="7BE826AE"/>
    <w:rsid w:val="7CAF2AE1"/>
    <w:rsid w:val="7CCF532E"/>
    <w:rsid w:val="7D0746CC"/>
    <w:rsid w:val="7D342FE7"/>
    <w:rsid w:val="7D3C49C8"/>
    <w:rsid w:val="7D480840"/>
    <w:rsid w:val="7E00338F"/>
    <w:rsid w:val="7F9B5070"/>
    <w:rsid w:val="7FB83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pPr>
      <w:widowControl w:val="0"/>
      <w:ind w:firstLineChars="200" w:firstLine="880"/>
      <w:jc w:val="both"/>
    </w:pPr>
    <w:rPr>
      <w:rFonts w:eastAsia="仿宋_GB2312"/>
      <w:kern w:val="2"/>
      <w:sz w:val="32"/>
      <w:szCs w:val="24"/>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styleId="af4">
    <w:name w:val="Balloon Text"/>
    <w:basedOn w:val="af0"/>
    <w:link w:val="Char"/>
    <w:semiHidden/>
    <w:unhideWhenUsed/>
    <w:qFormat/>
    <w:rPr>
      <w:sz w:val="18"/>
      <w:szCs w:val="18"/>
    </w:rPr>
  </w:style>
  <w:style w:type="paragraph" w:styleId="af5">
    <w:name w:val="footer"/>
    <w:basedOn w:val="af0"/>
    <w:link w:val="Char0"/>
    <w:uiPriority w:val="99"/>
    <w:qFormat/>
    <w:pPr>
      <w:tabs>
        <w:tab w:val="center" w:pos="4153"/>
        <w:tab w:val="right" w:pos="8306"/>
      </w:tabs>
      <w:snapToGrid w:val="0"/>
      <w:jc w:val="left"/>
    </w:pPr>
    <w:rPr>
      <w:sz w:val="18"/>
      <w:szCs w:val="18"/>
    </w:rPr>
  </w:style>
  <w:style w:type="paragraph" w:styleId="af6">
    <w:name w:val="header"/>
    <w:basedOn w:val="af0"/>
    <w:link w:val="Char1"/>
    <w:qFormat/>
    <w:pPr>
      <w:pBdr>
        <w:bottom w:val="single" w:sz="6" w:space="1" w:color="auto"/>
      </w:pBdr>
      <w:tabs>
        <w:tab w:val="center" w:pos="4153"/>
        <w:tab w:val="right" w:pos="8306"/>
      </w:tabs>
      <w:snapToGrid w:val="0"/>
      <w:jc w:val="center"/>
    </w:pPr>
    <w:rPr>
      <w:sz w:val="18"/>
      <w:szCs w:val="18"/>
    </w:rPr>
  </w:style>
  <w:style w:type="paragraph" w:styleId="af7">
    <w:name w:val="Normal (Web)"/>
    <w:basedOn w:val="af0"/>
    <w:uiPriority w:val="99"/>
    <w:qFormat/>
    <w:pPr>
      <w:spacing w:before="100" w:beforeAutospacing="1" w:after="100" w:afterAutospacing="1"/>
      <w:jc w:val="left"/>
    </w:pPr>
    <w:rPr>
      <w:kern w:val="0"/>
      <w:sz w:val="24"/>
    </w:rPr>
  </w:style>
  <w:style w:type="table" w:styleId="af8">
    <w:name w:val="Table Grid"/>
    <w:basedOn w:val="af2"/>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9">
    <w:name w:val="Hyperlink"/>
    <w:basedOn w:val="af1"/>
    <w:uiPriority w:val="99"/>
    <w:unhideWhenUsed/>
    <w:qFormat/>
    <w:rPr>
      <w:color w:val="0000FF"/>
      <w:u w:val="single"/>
    </w:rPr>
  </w:style>
  <w:style w:type="paragraph" w:customStyle="1" w:styleId="afa">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b">
    <w:name w:val="正文表标题"/>
    <w:next w:val="afa"/>
    <w:qFormat/>
    <w:pPr>
      <w:spacing w:beforeLines="50" w:afterLines="50"/>
      <w:jc w:val="center"/>
    </w:pPr>
    <w:rPr>
      <w:rFonts w:ascii="黑体" w:eastAsia="黑体"/>
      <w:sz w:val="21"/>
    </w:rPr>
  </w:style>
  <w:style w:type="paragraph" w:customStyle="1" w:styleId="afc">
    <w:name w:val="正文图标题"/>
    <w:next w:val="afa"/>
    <w:qFormat/>
    <w:pPr>
      <w:tabs>
        <w:tab w:val="left" w:pos="360"/>
      </w:tabs>
      <w:spacing w:beforeLines="50" w:afterLines="50"/>
      <w:jc w:val="center"/>
    </w:pPr>
    <w:rPr>
      <w:rFonts w:ascii="黑体" w:eastAsia="黑体"/>
      <w:sz w:val="21"/>
    </w:rPr>
  </w:style>
  <w:style w:type="paragraph" w:customStyle="1" w:styleId="ab">
    <w:name w:val="其他发布日期"/>
    <w:basedOn w:val="af0"/>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a"/>
    <w:qFormat/>
    <w:pPr>
      <w:numPr>
        <w:ilvl w:val="1"/>
        <w:numId w:val="3"/>
      </w:numPr>
      <w:spacing w:beforeLines="50" w:afterLines="50"/>
      <w:outlineLvl w:val="2"/>
    </w:pPr>
    <w:rPr>
      <w:rFonts w:ascii="黑体" w:eastAsia="黑体"/>
      <w:sz w:val="21"/>
      <w:szCs w:val="21"/>
    </w:rPr>
  </w:style>
  <w:style w:type="paragraph" w:customStyle="1" w:styleId="a2">
    <w:name w:val="章标题"/>
    <w:next w:val="afa"/>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a"/>
    <w:qFormat/>
    <w:pPr>
      <w:numPr>
        <w:ilvl w:val="2"/>
      </w:numPr>
      <w:spacing w:before="50" w:after="50"/>
      <w:outlineLvl w:val="3"/>
    </w:pPr>
  </w:style>
  <w:style w:type="paragraph" w:customStyle="1" w:styleId="a5">
    <w:name w:val="三级条标题"/>
    <w:basedOn w:val="a4"/>
    <w:next w:val="afa"/>
    <w:qFormat/>
    <w:pPr>
      <w:numPr>
        <w:ilvl w:val="3"/>
      </w:numPr>
      <w:outlineLvl w:val="4"/>
    </w:pPr>
  </w:style>
  <w:style w:type="paragraph" w:customStyle="1" w:styleId="a6">
    <w:name w:val="四级条标题"/>
    <w:basedOn w:val="a5"/>
    <w:next w:val="afa"/>
    <w:qFormat/>
    <w:pPr>
      <w:numPr>
        <w:ilvl w:val="4"/>
      </w:numPr>
      <w:outlineLvl w:val="5"/>
    </w:pPr>
  </w:style>
  <w:style w:type="paragraph" w:customStyle="1" w:styleId="a7">
    <w:name w:val="五级条标题"/>
    <w:basedOn w:val="a6"/>
    <w:next w:val="afa"/>
    <w:qFormat/>
    <w:pPr>
      <w:numPr>
        <w:ilvl w:val="5"/>
      </w:numPr>
      <w:outlineLvl w:val="6"/>
    </w:pPr>
  </w:style>
  <w:style w:type="paragraph" w:customStyle="1" w:styleId="a">
    <w:name w:val="注："/>
    <w:next w:val="afa"/>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f0"/>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f0"/>
    <w:next w:val="afa"/>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f0"/>
    <w:qFormat/>
    <w:pPr>
      <w:numPr>
        <w:numId w:val="7"/>
      </w:numPr>
    </w:pPr>
    <w:rPr>
      <w:rFonts w:ascii="宋体"/>
      <w:sz w:val="18"/>
      <w:szCs w:val="18"/>
    </w:rPr>
  </w:style>
  <w:style w:type="character" w:customStyle="1" w:styleId="Char2">
    <w:name w:val="段 Char"/>
    <w:basedOn w:val="af1"/>
    <w:link w:val="afa"/>
    <w:qFormat/>
    <w:rPr>
      <w:rFonts w:ascii="宋体"/>
      <w:sz w:val="21"/>
      <w:lang w:val="en-US" w:eastAsia="zh-CN" w:bidi="ar-SA"/>
    </w:rPr>
  </w:style>
  <w:style w:type="character" w:customStyle="1" w:styleId="Char1">
    <w:name w:val="页眉 Char"/>
    <w:basedOn w:val="af1"/>
    <w:link w:val="af6"/>
    <w:qFormat/>
    <w:rPr>
      <w:kern w:val="2"/>
      <w:sz w:val="18"/>
      <w:szCs w:val="18"/>
    </w:rPr>
  </w:style>
  <w:style w:type="character" w:customStyle="1" w:styleId="Char0">
    <w:name w:val="页脚 Char"/>
    <w:basedOn w:val="af1"/>
    <w:link w:val="af5"/>
    <w:uiPriority w:val="99"/>
    <w:qFormat/>
    <w:rPr>
      <w:kern w:val="2"/>
      <w:sz w:val="18"/>
      <w:szCs w:val="18"/>
    </w:rPr>
  </w:style>
  <w:style w:type="paragraph" w:customStyle="1" w:styleId="ac">
    <w:name w:val="附录表标题"/>
    <w:basedOn w:val="af0"/>
    <w:next w:val="afa"/>
    <w:qFormat/>
    <w:pPr>
      <w:numPr>
        <w:ilvl w:val="1"/>
        <w:numId w:val="8"/>
      </w:numPr>
      <w:tabs>
        <w:tab w:val="left" w:pos="180"/>
      </w:tabs>
      <w:spacing w:beforeLines="50" w:afterLines="50"/>
      <w:ind w:left="0" w:firstLine="0"/>
      <w:jc w:val="center"/>
    </w:pPr>
    <w:rPr>
      <w:rFonts w:ascii="黑体" w:eastAsia="黑体"/>
      <w:szCs w:val="21"/>
    </w:rPr>
  </w:style>
  <w:style w:type="paragraph" w:styleId="afd">
    <w:name w:val="List Paragraph"/>
    <w:basedOn w:val="af0"/>
    <w:uiPriority w:val="34"/>
    <w:unhideWhenUsed/>
    <w:qFormat/>
    <w:pPr>
      <w:ind w:firstLine="420"/>
    </w:pPr>
  </w:style>
  <w:style w:type="paragraph" w:customStyle="1" w:styleId="afe">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
    <w:name w:val="发布"/>
    <w:qFormat/>
    <w:rPr>
      <w:rFonts w:ascii="黑体" w:eastAsia="黑体"/>
      <w:spacing w:val="22"/>
      <w:w w:val="100"/>
      <w:position w:val="3"/>
      <w:sz w:val="28"/>
    </w:rPr>
  </w:style>
  <w:style w:type="paragraph" w:customStyle="1" w:styleId="aff0">
    <w:name w:val="其他发布部门"/>
    <w:basedOn w:val="af0"/>
    <w:qFormat/>
    <w:pPr>
      <w:widowControl/>
      <w:spacing w:line="0" w:lineRule="atLeast"/>
      <w:jc w:val="center"/>
    </w:pPr>
    <w:rPr>
      <w:rFonts w:ascii="黑体" w:eastAsia="黑体"/>
      <w:spacing w:val="20"/>
      <w:w w:val="135"/>
      <w:kern w:val="0"/>
      <w:sz w:val="36"/>
      <w:szCs w:val="20"/>
    </w:rPr>
  </w:style>
  <w:style w:type="paragraph" w:customStyle="1" w:styleId="aff1">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1"/>
    <w:link w:val="af4"/>
    <w:semiHidden/>
    <w:qFormat/>
    <w:rPr>
      <w:rFonts w:ascii="Times New Roman" w:hAnsi="Times New Roman"/>
      <w:kern w:val="2"/>
      <w:sz w:val="18"/>
      <w:szCs w:val="18"/>
    </w:rPr>
  </w:style>
  <w:style w:type="paragraph" w:customStyle="1" w:styleId="ae">
    <w:name w:val="标准文件_章标题"/>
    <w:next w:val="aff1"/>
    <w:qFormat/>
    <w:pPr>
      <w:numPr>
        <w:ilvl w:val="1"/>
        <w:numId w:val="9"/>
      </w:numPr>
      <w:spacing w:beforeLines="100" w:before="100" w:afterLines="100" w:after="100"/>
      <w:jc w:val="both"/>
      <w:outlineLvl w:val="0"/>
    </w:pPr>
    <w:rPr>
      <w:rFonts w:ascii="黑体" w:eastAsia="黑体"/>
      <w:sz w:val="21"/>
    </w:rPr>
  </w:style>
  <w:style w:type="paragraph" w:customStyle="1" w:styleId="aff2">
    <w:name w:val="标准文件_一级无标题"/>
    <w:basedOn w:val="af"/>
    <w:qFormat/>
    <w:pPr>
      <w:spacing w:beforeLines="0" w:afterLines="0"/>
      <w:outlineLvl w:val="9"/>
    </w:pPr>
    <w:rPr>
      <w:rFonts w:ascii="宋体" w:eastAsia="宋体"/>
    </w:rPr>
  </w:style>
  <w:style w:type="paragraph" w:customStyle="1" w:styleId="af">
    <w:name w:val="标准文件_一级条标题"/>
    <w:basedOn w:val="ae"/>
    <w:next w:val="aff1"/>
    <w:qFormat/>
    <w:pPr>
      <w:numPr>
        <w:ilvl w:val="2"/>
      </w:numPr>
      <w:spacing w:beforeLines="50" w:afterLines="50"/>
      <w:outlineLvl w:val="1"/>
    </w:pPr>
  </w:style>
  <w:style w:type="paragraph" w:customStyle="1" w:styleId="aff3">
    <w:name w:val="标准文件_正文公式"/>
    <w:basedOn w:val="af0"/>
    <w:next w:val="aff4"/>
    <w:qFormat/>
    <w:pPr>
      <w:tabs>
        <w:tab w:val="center" w:pos="4678"/>
        <w:tab w:val="right" w:leader="middleDot" w:pos="9356"/>
      </w:tabs>
    </w:pPr>
    <w:rPr>
      <w:rFonts w:ascii="宋体" w:hAnsi="宋体"/>
    </w:rPr>
  </w:style>
  <w:style w:type="paragraph" w:customStyle="1" w:styleId="aff4">
    <w:name w:val="标准文件_标准正文"/>
    <w:basedOn w:val="af0"/>
    <w:next w:val="aff1"/>
    <w:qFormat/>
    <w:pPr>
      <w:snapToGrid w:val="0"/>
      <w:ind w:firstLine="200"/>
    </w:pPr>
    <w:rPr>
      <w:kern w:val="0"/>
    </w:rPr>
  </w:style>
  <w:style w:type="paragraph" w:customStyle="1" w:styleId="ad">
    <w:name w:val="标准文件_正文表标题"/>
    <w:next w:val="aff1"/>
    <w:qFormat/>
    <w:pPr>
      <w:numPr>
        <w:numId w:val="1"/>
      </w:numPr>
      <w:tabs>
        <w:tab w:val="left" w:pos="0"/>
      </w:tabs>
      <w:spacing w:beforeLines="50" w:afterLines="50"/>
      <w:jc w:val="center"/>
    </w:pPr>
    <w:rPr>
      <w:rFonts w:ascii="黑体" w:eastAsia="黑体"/>
      <w:sz w:val="21"/>
    </w:rPr>
  </w:style>
  <w:style w:type="paragraph" w:customStyle="1" w:styleId="aff5">
    <w:name w:val="标准文件_表格"/>
    <w:basedOn w:val="aff1"/>
    <w:qFormat/>
    <w:pPr>
      <w:ind w:firstLineChars="0" w:firstLine="0"/>
      <w:jc w:val="center"/>
    </w:pPr>
    <w:rPr>
      <w:sz w:val="18"/>
    </w:rPr>
  </w:style>
  <w:style w:type="paragraph" w:customStyle="1" w:styleId="aa">
    <w:name w:val="标准文件_一级项"/>
    <w:qFormat/>
    <w:pPr>
      <w:numPr>
        <w:numId w:val="10"/>
      </w:numPr>
    </w:pPr>
    <w:rPr>
      <w:rFonts w:ascii="宋体"/>
      <w:sz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pPr>
      <w:widowControl w:val="0"/>
      <w:ind w:firstLineChars="200" w:firstLine="880"/>
      <w:jc w:val="both"/>
    </w:pPr>
    <w:rPr>
      <w:rFonts w:eastAsia="仿宋_GB2312"/>
      <w:kern w:val="2"/>
      <w:sz w:val="32"/>
      <w:szCs w:val="24"/>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styleId="af4">
    <w:name w:val="Balloon Text"/>
    <w:basedOn w:val="af0"/>
    <w:link w:val="Char"/>
    <w:semiHidden/>
    <w:unhideWhenUsed/>
    <w:qFormat/>
    <w:rPr>
      <w:sz w:val="18"/>
      <w:szCs w:val="18"/>
    </w:rPr>
  </w:style>
  <w:style w:type="paragraph" w:styleId="af5">
    <w:name w:val="footer"/>
    <w:basedOn w:val="af0"/>
    <w:link w:val="Char0"/>
    <w:uiPriority w:val="99"/>
    <w:qFormat/>
    <w:pPr>
      <w:tabs>
        <w:tab w:val="center" w:pos="4153"/>
        <w:tab w:val="right" w:pos="8306"/>
      </w:tabs>
      <w:snapToGrid w:val="0"/>
      <w:jc w:val="left"/>
    </w:pPr>
    <w:rPr>
      <w:sz w:val="18"/>
      <w:szCs w:val="18"/>
    </w:rPr>
  </w:style>
  <w:style w:type="paragraph" w:styleId="af6">
    <w:name w:val="header"/>
    <w:basedOn w:val="af0"/>
    <w:link w:val="Char1"/>
    <w:qFormat/>
    <w:pPr>
      <w:pBdr>
        <w:bottom w:val="single" w:sz="6" w:space="1" w:color="auto"/>
      </w:pBdr>
      <w:tabs>
        <w:tab w:val="center" w:pos="4153"/>
        <w:tab w:val="right" w:pos="8306"/>
      </w:tabs>
      <w:snapToGrid w:val="0"/>
      <w:jc w:val="center"/>
    </w:pPr>
    <w:rPr>
      <w:sz w:val="18"/>
      <w:szCs w:val="18"/>
    </w:rPr>
  </w:style>
  <w:style w:type="paragraph" w:styleId="af7">
    <w:name w:val="Normal (Web)"/>
    <w:basedOn w:val="af0"/>
    <w:uiPriority w:val="99"/>
    <w:qFormat/>
    <w:pPr>
      <w:spacing w:before="100" w:beforeAutospacing="1" w:after="100" w:afterAutospacing="1"/>
      <w:jc w:val="left"/>
    </w:pPr>
    <w:rPr>
      <w:kern w:val="0"/>
      <w:sz w:val="24"/>
    </w:rPr>
  </w:style>
  <w:style w:type="table" w:styleId="af8">
    <w:name w:val="Table Grid"/>
    <w:basedOn w:val="af2"/>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9">
    <w:name w:val="Hyperlink"/>
    <w:basedOn w:val="af1"/>
    <w:uiPriority w:val="99"/>
    <w:unhideWhenUsed/>
    <w:qFormat/>
    <w:rPr>
      <w:color w:val="0000FF"/>
      <w:u w:val="single"/>
    </w:rPr>
  </w:style>
  <w:style w:type="paragraph" w:customStyle="1" w:styleId="afa">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b">
    <w:name w:val="正文表标题"/>
    <w:next w:val="afa"/>
    <w:qFormat/>
    <w:pPr>
      <w:spacing w:beforeLines="50" w:afterLines="50"/>
      <w:jc w:val="center"/>
    </w:pPr>
    <w:rPr>
      <w:rFonts w:ascii="黑体" w:eastAsia="黑体"/>
      <w:sz w:val="21"/>
    </w:rPr>
  </w:style>
  <w:style w:type="paragraph" w:customStyle="1" w:styleId="afc">
    <w:name w:val="正文图标题"/>
    <w:next w:val="afa"/>
    <w:qFormat/>
    <w:pPr>
      <w:tabs>
        <w:tab w:val="left" w:pos="360"/>
      </w:tabs>
      <w:spacing w:beforeLines="50" w:afterLines="50"/>
      <w:jc w:val="center"/>
    </w:pPr>
    <w:rPr>
      <w:rFonts w:ascii="黑体" w:eastAsia="黑体"/>
      <w:sz w:val="21"/>
    </w:rPr>
  </w:style>
  <w:style w:type="paragraph" w:customStyle="1" w:styleId="ab">
    <w:name w:val="其他发布日期"/>
    <w:basedOn w:val="af0"/>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a"/>
    <w:qFormat/>
    <w:pPr>
      <w:numPr>
        <w:ilvl w:val="1"/>
        <w:numId w:val="3"/>
      </w:numPr>
      <w:spacing w:beforeLines="50" w:afterLines="50"/>
      <w:outlineLvl w:val="2"/>
    </w:pPr>
    <w:rPr>
      <w:rFonts w:ascii="黑体" w:eastAsia="黑体"/>
      <w:sz w:val="21"/>
      <w:szCs w:val="21"/>
    </w:rPr>
  </w:style>
  <w:style w:type="paragraph" w:customStyle="1" w:styleId="a2">
    <w:name w:val="章标题"/>
    <w:next w:val="afa"/>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a"/>
    <w:qFormat/>
    <w:pPr>
      <w:numPr>
        <w:ilvl w:val="2"/>
      </w:numPr>
      <w:spacing w:before="50" w:after="50"/>
      <w:outlineLvl w:val="3"/>
    </w:pPr>
  </w:style>
  <w:style w:type="paragraph" w:customStyle="1" w:styleId="a5">
    <w:name w:val="三级条标题"/>
    <w:basedOn w:val="a4"/>
    <w:next w:val="afa"/>
    <w:qFormat/>
    <w:pPr>
      <w:numPr>
        <w:ilvl w:val="3"/>
      </w:numPr>
      <w:outlineLvl w:val="4"/>
    </w:pPr>
  </w:style>
  <w:style w:type="paragraph" w:customStyle="1" w:styleId="a6">
    <w:name w:val="四级条标题"/>
    <w:basedOn w:val="a5"/>
    <w:next w:val="afa"/>
    <w:qFormat/>
    <w:pPr>
      <w:numPr>
        <w:ilvl w:val="4"/>
      </w:numPr>
      <w:outlineLvl w:val="5"/>
    </w:pPr>
  </w:style>
  <w:style w:type="paragraph" w:customStyle="1" w:styleId="a7">
    <w:name w:val="五级条标题"/>
    <w:basedOn w:val="a6"/>
    <w:next w:val="afa"/>
    <w:qFormat/>
    <w:pPr>
      <w:numPr>
        <w:ilvl w:val="5"/>
      </w:numPr>
      <w:outlineLvl w:val="6"/>
    </w:pPr>
  </w:style>
  <w:style w:type="paragraph" w:customStyle="1" w:styleId="a">
    <w:name w:val="注："/>
    <w:next w:val="afa"/>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f0"/>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f0"/>
    <w:next w:val="afa"/>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f0"/>
    <w:qFormat/>
    <w:pPr>
      <w:numPr>
        <w:numId w:val="7"/>
      </w:numPr>
    </w:pPr>
    <w:rPr>
      <w:rFonts w:ascii="宋体"/>
      <w:sz w:val="18"/>
      <w:szCs w:val="18"/>
    </w:rPr>
  </w:style>
  <w:style w:type="character" w:customStyle="1" w:styleId="Char2">
    <w:name w:val="段 Char"/>
    <w:basedOn w:val="af1"/>
    <w:link w:val="afa"/>
    <w:qFormat/>
    <w:rPr>
      <w:rFonts w:ascii="宋体"/>
      <w:sz w:val="21"/>
      <w:lang w:val="en-US" w:eastAsia="zh-CN" w:bidi="ar-SA"/>
    </w:rPr>
  </w:style>
  <w:style w:type="character" w:customStyle="1" w:styleId="Char1">
    <w:name w:val="页眉 Char"/>
    <w:basedOn w:val="af1"/>
    <w:link w:val="af6"/>
    <w:qFormat/>
    <w:rPr>
      <w:kern w:val="2"/>
      <w:sz w:val="18"/>
      <w:szCs w:val="18"/>
    </w:rPr>
  </w:style>
  <w:style w:type="character" w:customStyle="1" w:styleId="Char0">
    <w:name w:val="页脚 Char"/>
    <w:basedOn w:val="af1"/>
    <w:link w:val="af5"/>
    <w:uiPriority w:val="99"/>
    <w:qFormat/>
    <w:rPr>
      <w:kern w:val="2"/>
      <w:sz w:val="18"/>
      <w:szCs w:val="18"/>
    </w:rPr>
  </w:style>
  <w:style w:type="paragraph" w:customStyle="1" w:styleId="ac">
    <w:name w:val="附录表标题"/>
    <w:basedOn w:val="af0"/>
    <w:next w:val="afa"/>
    <w:qFormat/>
    <w:pPr>
      <w:numPr>
        <w:ilvl w:val="1"/>
        <w:numId w:val="8"/>
      </w:numPr>
      <w:tabs>
        <w:tab w:val="left" w:pos="180"/>
      </w:tabs>
      <w:spacing w:beforeLines="50" w:afterLines="50"/>
      <w:ind w:left="0" w:firstLine="0"/>
      <w:jc w:val="center"/>
    </w:pPr>
    <w:rPr>
      <w:rFonts w:ascii="黑体" w:eastAsia="黑体"/>
      <w:szCs w:val="21"/>
    </w:rPr>
  </w:style>
  <w:style w:type="paragraph" w:styleId="afd">
    <w:name w:val="List Paragraph"/>
    <w:basedOn w:val="af0"/>
    <w:uiPriority w:val="34"/>
    <w:unhideWhenUsed/>
    <w:qFormat/>
    <w:pPr>
      <w:ind w:firstLine="420"/>
    </w:pPr>
  </w:style>
  <w:style w:type="paragraph" w:customStyle="1" w:styleId="afe">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
    <w:name w:val="发布"/>
    <w:qFormat/>
    <w:rPr>
      <w:rFonts w:ascii="黑体" w:eastAsia="黑体"/>
      <w:spacing w:val="22"/>
      <w:w w:val="100"/>
      <w:position w:val="3"/>
      <w:sz w:val="28"/>
    </w:rPr>
  </w:style>
  <w:style w:type="paragraph" w:customStyle="1" w:styleId="aff0">
    <w:name w:val="其他发布部门"/>
    <w:basedOn w:val="af0"/>
    <w:qFormat/>
    <w:pPr>
      <w:widowControl/>
      <w:spacing w:line="0" w:lineRule="atLeast"/>
      <w:jc w:val="center"/>
    </w:pPr>
    <w:rPr>
      <w:rFonts w:ascii="黑体" w:eastAsia="黑体"/>
      <w:spacing w:val="20"/>
      <w:w w:val="135"/>
      <w:kern w:val="0"/>
      <w:sz w:val="36"/>
      <w:szCs w:val="20"/>
    </w:rPr>
  </w:style>
  <w:style w:type="paragraph" w:customStyle="1" w:styleId="aff1">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1"/>
    <w:link w:val="af4"/>
    <w:semiHidden/>
    <w:qFormat/>
    <w:rPr>
      <w:rFonts w:ascii="Times New Roman" w:hAnsi="Times New Roman"/>
      <w:kern w:val="2"/>
      <w:sz w:val="18"/>
      <w:szCs w:val="18"/>
    </w:rPr>
  </w:style>
  <w:style w:type="paragraph" w:customStyle="1" w:styleId="ae">
    <w:name w:val="标准文件_章标题"/>
    <w:next w:val="aff1"/>
    <w:qFormat/>
    <w:pPr>
      <w:numPr>
        <w:ilvl w:val="1"/>
        <w:numId w:val="9"/>
      </w:numPr>
      <w:spacing w:beforeLines="100" w:before="100" w:afterLines="100" w:after="100"/>
      <w:jc w:val="both"/>
      <w:outlineLvl w:val="0"/>
    </w:pPr>
    <w:rPr>
      <w:rFonts w:ascii="黑体" w:eastAsia="黑体"/>
      <w:sz w:val="21"/>
    </w:rPr>
  </w:style>
  <w:style w:type="paragraph" w:customStyle="1" w:styleId="aff2">
    <w:name w:val="标准文件_一级无标题"/>
    <w:basedOn w:val="af"/>
    <w:qFormat/>
    <w:pPr>
      <w:spacing w:beforeLines="0" w:afterLines="0"/>
      <w:outlineLvl w:val="9"/>
    </w:pPr>
    <w:rPr>
      <w:rFonts w:ascii="宋体" w:eastAsia="宋体"/>
    </w:rPr>
  </w:style>
  <w:style w:type="paragraph" w:customStyle="1" w:styleId="af">
    <w:name w:val="标准文件_一级条标题"/>
    <w:basedOn w:val="ae"/>
    <w:next w:val="aff1"/>
    <w:qFormat/>
    <w:pPr>
      <w:numPr>
        <w:ilvl w:val="2"/>
      </w:numPr>
      <w:spacing w:beforeLines="50" w:afterLines="50"/>
      <w:outlineLvl w:val="1"/>
    </w:pPr>
  </w:style>
  <w:style w:type="paragraph" w:customStyle="1" w:styleId="aff3">
    <w:name w:val="标准文件_正文公式"/>
    <w:basedOn w:val="af0"/>
    <w:next w:val="aff4"/>
    <w:qFormat/>
    <w:pPr>
      <w:tabs>
        <w:tab w:val="center" w:pos="4678"/>
        <w:tab w:val="right" w:leader="middleDot" w:pos="9356"/>
      </w:tabs>
    </w:pPr>
    <w:rPr>
      <w:rFonts w:ascii="宋体" w:hAnsi="宋体"/>
    </w:rPr>
  </w:style>
  <w:style w:type="paragraph" w:customStyle="1" w:styleId="aff4">
    <w:name w:val="标准文件_标准正文"/>
    <w:basedOn w:val="af0"/>
    <w:next w:val="aff1"/>
    <w:qFormat/>
    <w:pPr>
      <w:snapToGrid w:val="0"/>
      <w:ind w:firstLine="200"/>
    </w:pPr>
    <w:rPr>
      <w:kern w:val="0"/>
    </w:rPr>
  </w:style>
  <w:style w:type="paragraph" w:customStyle="1" w:styleId="ad">
    <w:name w:val="标准文件_正文表标题"/>
    <w:next w:val="aff1"/>
    <w:qFormat/>
    <w:pPr>
      <w:numPr>
        <w:numId w:val="1"/>
      </w:numPr>
      <w:tabs>
        <w:tab w:val="left" w:pos="0"/>
      </w:tabs>
      <w:spacing w:beforeLines="50" w:afterLines="50"/>
      <w:jc w:val="center"/>
    </w:pPr>
    <w:rPr>
      <w:rFonts w:ascii="黑体" w:eastAsia="黑体"/>
      <w:sz w:val="21"/>
    </w:rPr>
  </w:style>
  <w:style w:type="paragraph" w:customStyle="1" w:styleId="aff5">
    <w:name w:val="标准文件_表格"/>
    <w:basedOn w:val="aff1"/>
    <w:qFormat/>
    <w:pPr>
      <w:ind w:firstLineChars="0" w:firstLine="0"/>
      <w:jc w:val="center"/>
    </w:pPr>
    <w:rPr>
      <w:sz w:val="18"/>
    </w:rPr>
  </w:style>
  <w:style w:type="paragraph" w:customStyle="1" w:styleId="aa">
    <w:name w:val="标准文件_一级项"/>
    <w:qFormat/>
    <w:pPr>
      <w:numPr>
        <w:numId w:val="10"/>
      </w:numPr>
    </w:pPr>
    <w:rPr>
      <w:rFonts w:ascii="宋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6684794">
      <w:bodyDiv w:val="1"/>
      <w:marLeft w:val="0"/>
      <w:marRight w:val="0"/>
      <w:marTop w:val="0"/>
      <w:marBottom w:val="0"/>
      <w:divBdr>
        <w:top w:val="none" w:sz="0" w:space="0" w:color="auto"/>
        <w:left w:val="none" w:sz="0" w:space="0" w:color="auto"/>
        <w:bottom w:val="none" w:sz="0" w:space="0" w:color="auto"/>
        <w:right w:val="none" w:sz="0" w:space="0" w:color="auto"/>
      </w:divBdr>
    </w:div>
    <w:div w:id="1074545071">
      <w:bodyDiv w:val="1"/>
      <w:marLeft w:val="0"/>
      <w:marRight w:val="0"/>
      <w:marTop w:val="0"/>
      <w:marBottom w:val="0"/>
      <w:divBdr>
        <w:top w:val="none" w:sz="0" w:space="0" w:color="auto"/>
        <w:left w:val="none" w:sz="0" w:space="0" w:color="auto"/>
        <w:bottom w:val="none" w:sz="0" w:space="0" w:color="auto"/>
        <w:right w:val="none" w:sz="0" w:space="0" w:color="auto"/>
      </w:divBdr>
      <w:divsChild>
        <w:div w:id="1002471077">
          <w:marLeft w:val="0"/>
          <w:marRight w:val="0"/>
          <w:marTop w:val="0"/>
          <w:marBottom w:val="0"/>
          <w:divBdr>
            <w:top w:val="none" w:sz="0" w:space="0" w:color="auto"/>
            <w:left w:val="none" w:sz="0" w:space="0" w:color="auto"/>
            <w:bottom w:val="none" w:sz="0" w:space="0" w:color="auto"/>
            <w:right w:val="none" w:sz="0" w:space="0" w:color="auto"/>
          </w:divBdr>
        </w:div>
      </w:divsChild>
    </w:div>
    <w:div w:id="16546736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422</TotalTime>
  <Pages>27</Pages>
  <Words>2074</Words>
  <Characters>11823</Characters>
  <Application>Microsoft Office Word</Application>
  <DocSecurity>0</DocSecurity>
  <Lines>98</Lines>
  <Paragraphs>27</Paragraphs>
  <ScaleCrop>false</ScaleCrop>
  <Company>WWW.YlmF.CoM</Company>
  <LinksUpToDate>false</LinksUpToDate>
  <CharactersWithSpaces>13870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83</cp:revision>
  <cp:lastPrinted>2019-07-10T11:21:00Z</cp:lastPrinted>
  <dcterms:created xsi:type="dcterms:W3CDTF">2023-08-14T06:51:00Z</dcterms:created>
  <dcterms:modified xsi:type="dcterms:W3CDTF">2025-11-28T10:32:00Z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026CF76227104E619FBD98A8FEEC3623_13</vt:lpwstr>
  </property>
  <property fmtid="{D5CDD505-2E9C-101B-9397-08002B2CF9AE}" pid="4" name="KSOTemplateDocerSaveRecord">
    <vt:lpwstr>eyJoZGlkIjoiYWZjNGU2M2Y2NzcyODU5MmE2MzU2MGIyMTFlNjRhMjIiLCJ1c2VySWQiOiIxNjgzMDY0NzMzIn0=</vt:lpwstr>
  </property>
</Properties>
</file>